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B0" w:rsidRPr="00E80C85" w:rsidRDefault="00E64EB0" w:rsidP="0088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E80C85">
        <w:rPr>
          <w:rFonts w:ascii="Arial" w:hAnsi="Arial" w:cs="Arial"/>
          <w:b/>
          <w:sz w:val="20"/>
          <w:szCs w:val="20"/>
          <w:lang w:val="fr-FR"/>
        </w:rPr>
        <w:t xml:space="preserve">APPEL A </w:t>
      </w:r>
      <w:r w:rsidR="00E80C85" w:rsidRPr="00E80C85">
        <w:rPr>
          <w:rFonts w:ascii="Arial" w:hAnsi="Arial" w:cs="Arial"/>
          <w:b/>
          <w:sz w:val="20"/>
          <w:szCs w:val="20"/>
          <w:lang w:val="fr-FR"/>
        </w:rPr>
        <w:t>MANIFESTATION D’INTERET</w:t>
      </w:r>
      <w:r w:rsidRPr="00E80C85">
        <w:rPr>
          <w:rFonts w:ascii="Arial" w:hAnsi="Arial" w:cs="Arial"/>
          <w:b/>
          <w:sz w:val="20"/>
          <w:szCs w:val="20"/>
          <w:lang w:val="fr-FR"/>
        </w:rPr>
        <w:t> 2021</w:t>
      </w:r>
    </w:p>
    <w:p w:rsidR="00E64EB0" w:rsidRPr="00E80C85" w:rsidRDefault="00E80C85" w:rsidP="0088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E80C85">
        <w:rPr>
          <w:rFonts w:ascii="Arial" w:hAnsi="Arial" w:cs="Arial"/>
          <w:b/>
          <w:sz w:val="20"/>
          <w:szCs w:val="20"/>
          <w:lang w:val="fr-FR"/>
        </w:rPr>
        <w:t>Aménagement Isolement et Contention</w:t>
      </w:r>
    </w:p>
    <w:p w:rsidR="00895A0B" w:rsidRPr="00E80C85" w:rsidRDefault="00821843" w:rsidP="00885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fr-FR"/>
        </w:rPr>
      </w:pPr>
      <w:r w:rsidRPr="00E80C85">
        <w:rPr>
          <w:rFonts w:ascii="Arial" w:hAnsi="Arial" w:cs="Arial"/>
          <w:b/>
          <w:sz w:val="20"/>
          <w:szCs w:val="20"/>
          <w:lang w:val="fr-FR"/>
        </w:rPr>
        <w:t xml:space="preserve">CLOTURE de l’appel à </w:t>
      </w:r>
      <w:r w:rsidR="00E80C85" w:rsidRPr="00E80C85">
        <w:rPr>
          <w:rFonts w:ascii="Arial" w:hAnsi="Arial" w:cs="Arial"/>
          <w:b/>
          <w:sz w:val="20"/>
          <w:szCs w:val="20"/>
          <w:lang w:val="fr-FR"/>
        </w:rPr>
        <w:t>manifestation d’intérêt</w:t>
      </w:r>
      <w:r w:rsidRPr="00E80C85">
        <w:rPr>
          <w:rFonts w:ascii="Arial" w:hAnsi="Arial" w:cs="Arial"/>
          <w:b/>
          <w:sz w:val="20"/>
          <w:szCs w:val="20"/>
          <w:lang w:val="fr-FR"/>
        </w:rPr>
        <w:t xml:space="preserve"> le</w:t>
      </w:r>
      <w:r w:rsidR="00E80C85" w:rsidRPr="00E80C85">
        <w:rPr>
          <w:rFonts w:ascii="Arial" w:hAnsi="Arial" w:cs="Arial"/>
          <w:b/>
          <w:sz w:val="20"/>
          <w:szCs w:val="20"/>
          <w:lang w:val="fr-FR"/>
        </w:rPr>
        <w:t> </w:t>
      </w:r>
      <w:r w:rsidR="00E343E9">
        <w:rPr>
          <w:rFonts w:ascii="Arial" w:hAnsi="Arial" w:cs="Arial"/>
          <w:b/>
          <w:sz w:val="20"/>
          <w:szCs w:val="20"/>
          <w:lang w:val="fr-FR"/>
        </w:rPr>
        <w:t>15 décembre</w:t>
      </w:r>
      <w:r w:rsidR="00895A0B" w:rsidRPr="00E80C85">
        <w:rPr>
          <w:rFonts w:ascii="Arial" w:hAnsi="Arial" w:cs="Arial"/>
          <w:b/>
          <w:sz w:val="20"/>
          <w:szCs w:val="20"/>
          <w:lang w:val="fr-FR"/>
        </w:rPr>
        <w:t xml:space="preserve"> 2021</w:t>
      </w:r>
    </w:p>
    <w:p w:rsidR="00E80C85" w:rsidRPr="00E80C85" w:rsidRDefault="00E80C85" w:rsidP="00FD3D3F">
      <w:pPr>
        <w:jc w:val="both"/>
        <w:rPr>
          <w:rFonts w:ascii="Arial" w:eastAsiaTheme="majorEastAsia" w:hAnsi="Arial" w:cs="Arial"/>
          <w:b/>
          <w:bCs/>
          <w:i/>
          <w:iCs/>
          <w:color w:val="4F81BD" w:themeColor="accent1"/>
          <w:sz w:val="20"/>
          <w:szCs w:val="20"/>
          <w:lang w:val="fr-FR"/>
        </w:rPr>
      </w:pPr>
      <w:r w:rsidRPr="00E80C85">
        <w:rPr>
          <w:rFonts w:ascii="Arial" w:eastAsiaTheme="majorEastAsia" w:hAnsi="Arial" w:cs="Arial"/>
          <w:b/>
          <w:bCs/>
          <w:i/>
          <w:iCs/>
          <w:color w:val="4F81BD" w:themeColor="accent1"/>
          <w:sz w:val="20"/>
          <w:szCs w:val="20"/>
          <w:lang w:val="fr-FR"/>
        </w:rPr>
        <w:t>Textes de références :</w:t>
      </w:r>
    </w:p>
    <w:p w:rsidR="00E80C85" w:rsidRPr="009B2BEB" w:rsidRDefault="009B2BEB" w:rsidP="009B2BEB">
      <w:pPr>
        <w:spacing w:after="0"/>
        <w:jc w:val="both"/>
        <w:rPr>
          <w:rFonts w:ascii="Arial" w:eastAsiaTheme="majorEastAsia" w:hAnsi="Arial" w:cs="Arial"/>
          <w:b/>
          <w:bCs/>
          <w:iCs/>
          <w:color w:val="4F81BD" w:themeColor="accent1"/>
          <w:sz w:val="20"/>
          <w:szCs w:val="20"/>
          <w:lang w:val="fr-FR"/>
        </w:rPr>
      </w:pPr>
      <w:r w:rsidRPr="009B2BEB">
        <w:rPr>
          <w:rFonts w:ascii="Arial" w:eastAsiaTheme="majorEastAsia" w:hAnsi="Arial" w:cs="Arial"/>
          <w:b/>
          <w:bCs/>
          <w:iCs/>
          <w:color w:val="4F81BD" w:themeColor="accent1"/>
          <w:sz w:val="20"/>
          <w:szCs w:val="20"/>
          <w:lang w:val="fr-FR"/>
        </w:rPr>
        <w:t>Loi de Modernisation de Notre Système de Santé du 26 janvier 2016</w:t>
      </w:r>
    </w:p>
    <w:p w:rsidR="00E80C85" w:rsidRPr="009B2BEB" w:rsidRDefault="009B2BEB" w:rsidP="009B2BEB">
      <w:pPr>
        <w:spacing w:after="0"/>
        <w:jc w:val="both"/>
        <w:rPr>
          <w:rFonts w:ascii="Arial" w:eastAsiaTheme="majorEastAsia" w:hAnsi="Arial" w:cs="Arial"/>
          <w:b/>
          <w:bCs/>
          <w:iCs/>
          <w:color w:val="4F81BD" w:themeColor="accent1"/>
          <w:sz w:val="20"/>
          <w:szCs w:val="20"/>
          <w:lang w:val="fr-FR"/>
        </w:rPr>
      </w:pPr>
      <w:r w:rsidRPr="009B2BEB">
        <w:rPr>
          <w:rFonts w:ascii="Arial" w:eastAsiaTheme="majorEastAsia" w:hAnsi="Arial" w:cs="Arial"/>
          <w:b/>
          <w:bCs/>
          <w:iCs/>
          <w:color w:val="4F81BD" w:themeColor="accent1"/>
          <w:sz w:val="20"/>
          <w:szCs w:val="20"/>
          <w:lang w:val="fr-FR"/>
        </w:rPr>
        <w:t>L’instruction n° DGOS/R4/DGS/SP4/2017/109 du 29 mars 2017</w:t>
      </w:r>
    </w:p>
    <w:p w:rsidR="00E80C85" w:rsidRPr="009B2BEB" w:rsidRDefault="009B2BEB" w:rsidP="009B2BEB">
      <w:pPr>
        <w:spacing w:after="0"/>
        <w:jc w:val="both"/>
        <w:rPr>
          <w:rFonts w:ascii="Arial" w:eastAsiaTheme="majorEastAsia" w:hAnsi="Arial" w:cs="Arial"/>
          <w:b/>
          <w:bCs/>
          <w:iCs/>
          <w:color w:val="4F81BD" w:themeColor="accent1"/>
          <w:sz w:val="20"/>
          <w:szCs w:val="20"/>
          <w:lang w:val="fr-FR"/>
        </w:rPr>
      </w:pPr>
      <w:r w:rsidRPr="009B2BEB">
        <w:rPr>
          <w:rFonts w:ascii="Arial" w:eastAsiaTheme="majorEastAsia" w:hAnsi="Arial" w:cs="Arial"/>
          <w:b/>
          <w:bCs/>
          <w:iCs/>
          <w:color w:val="4F81BD" w:themeColor="accent1"/>
          <w:sz w:val="20"/>
          <w:szCs w:val="20"/>
          <w:lang w:val="fr-FR"/>
        </w:rPr>
        <w:t>Loi de Financement de la Sécurité Sociale (LFSS) 2021</w:t>
      </w:r>
    </w:p>
    <w:p w:rsidR="009B2BEB" w:rsidRPr="009B2BEB" w:rsidRDefault="009B2BEB" w:rsidP="009B2BEB">
      <w:pPr>
        <w:spacing w:after="0"/>
        <w:jc w:val="both"/>
        <w:rPr>
          <w:rFonts w:ascii="Arial" w:eastAsiaTheme="majorEastAsia" w:hAnsi="Arial" w:cs="Arial"/>
          <w:b/>
          <w:bCs/>
          <w:iCs/>
          <w:color w:val="4F81BD" w:themeColor="accent1"/>
          <w:sz w:val="20"/>
          <w:szCs w:val="20"/>
          <w:lang w:val="fr-FR"/>
        </w:rPr>
      </w:pPr>
      <w:r w:rsidRPr="009B2BEB">
        <w:rPr>
          <w:rFonts w:ascii="Arial" w:eastAsiaTheme="majorEastAsia" w:hAnsi="Arial" w:cs="Arial"/>
          <w:b/>
          <w:bCs/>
          <w:iCs/>
          <w:color w:val="4F81BD" w:themeColor="accent1"/>
          <w:sz w:val="20"/>
          <w:szCs w:val="20"/>
          <w:lang w:val="fr-FR"/>
        </w:rPr>
        <w:t>L’instruction N°DGOS/R4/2021/89 du 29 avril 2021</w:t>
      </w:r>
    </w:p>
    <w:p w:rsidR="009B2BEB" w:rsidRPr="009B2BEB" w:rsidRDefault="009B2BEB" w:rsidP="00FD3D3F">
      <w:pPr>
        <w:jc w:val="both"/>
        <w:rPr>
          <w:rFonts w:ascii="Arial" w:hAnsi="Arial" w:cs="Arial"/>
          <w:b/>
          <w:color w:val="0070C0"/>
          <w:sz w:val="20"/>
          <w:szCs w:val="20"/>
          <w:lang w:val="fr-FR"/>
        </w:rPr>
      </w:pPr>
    </w:p>
    <w:p w:rsidR="00E64EB0" w:rsidRPr="00E80C85" w:rsidRDefault="00E64EB0" w:rsidP="00FD3D3F">
      <w:pPr>
        <w:jc w:val="both"/>
        <w:rPr>
          <w:rFonts w:ascii="Arial" w:hAnsi="Arial" w:cs="Arial"/>
          <w:b/>
          <w:i/>
          <w:color w:val="0070C0"/>
          <w:sz w:val="20"/>
          <w:szCs w:val="20"/>
          <w:lang w:val="fr-FR"/>
        </w:rPr>
      </w:pPr>
      <w:r w:rsidRPr="00E80C85">
        <w:rPr>
          <w:rFonts w:ascii="Arial" w:hAnsi="Arial" w:cs="Arial"/>
          <w:b/>
          <w:i/>
          <w:color w:val="0070C0"/>
          <w:sz w:val="20"/>
          <w:szCs w:val="20"/>
          <w:lang w:val="fr-FR"/>
        </w:rPr>
        <w:t xml:space="preserve">Contexte </w:t>
      </w:r>
    </w:p>
    <w:p w:rsidR="00E80C85" w:rsidRPr="00E80C85" w:rsidRDefault="00E80C85" w:rsidP="00E80C8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L’article 72 de la LMMS du 26 janvier 2016</w:t>
      </w: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encadre le recours à la contention en psychiatrie (Art. L. 3222-5-1 du CSP) et prévoit notamment :</w:t>
      </w:r>
    </w:p>
    <w:p w:rsidR="00E80C85" w:rsidRPr="00E80C85" w:rsidRDefault="00E80C85" w:rsidP="00E80C8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:rsidR="00E80C85" w:rsidRPr="00E80C85" w:rsidRDefault="00E80C85" w:rsidP="00E80C8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l’isolement et la contention ne sont qu’une </w:t>
      </w:r>
      <w:r w:rsidRPr="00E80C85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pratique de dernier recours</w:t>
      </w: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</w:t>
      </w:r>
      <w:r w:rsidRPr="00E80C85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limitée</w:t>
      </w: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dans le temps, sur prescription médicale, pour prévenir un dommage immédiat ;</w:t>
      </w:r>
    </w:p>
    <w:p w:rsidR="00E80C85" w:rsidRPr="00E80C85" w:rsidRDefault="00E80C85" w:rsidP="00E80C8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la tenue </w:t>
      </w:r>
      <w:r w:rsidRPr="00E80C85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d’un registre</w:t>
      </w: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> ;</w:t>
      </w:r>
    </w:p>
    <w:p w:rsidR="00E80C85" w:rsidRPr="00E80C85" w:rsidRDefault="00E80C85" w:rsidP="00E80C8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l’établissement d’un </w:t>
      </w:r>
      <w:r w:rsidRPr="00E80C85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rapport annuel</w:t>
      </w: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rendant compte des pratiques d'admission en chambre d'isolement et de contention, </w:t>
      </w:r>
      <w:r w:rsidRPr="00E80C85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la politique définie pour limiter le recours</w:t>
      </w: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à ces pratiques et </w:t>
      </w:r>
      <w:r w:rsidRPr="00E80C85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l'évaluation de sa mise en œuvre</w:t>
      </w: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qui est </w:t>
      </w:r>
      <w:r w:rsidRPr="00E80C85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transmis</w:t>
      </w: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pour avis à la Commission Des Usagers.</w:t>
      </w:r>
    </w:p>
    <w:p w:rsidR="00E80C85" w:rsidRPr="00E80C85" w:rsidRDefault="00E80C85" w:rsidP="00E80C8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:rsidR="00E80C85" w:rsidRPr="00E80C85" w:rsidRDefault="00E80C85" w:rsidP="00E80C8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Dans son </w:t>
      </w:r>
      <w:r w:rsidRPr="00E80C85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rapport sur l’isolement et la contention</w:t>
      </w: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la </w:t>
      </w:r>
      <w:proofErr w:type="spellStart"/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>Contrôleure</w:t>
      </w:r>
      <w:proofErr w:type="spellEnd"/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des Lieux de Privation de Liberté (CGLPL) publié en 2016 fait le constat d’une grande hétérogénéité des pratiques, des droits des patients pas toujours respectés, voire un non-respect de la dignité.</w:t>
      </w:r>
    </w:p>
    <w:p w:rsidR="00E80C85" w:rsidRPr="00E80C85" w:rsidRDefault="00E80C85" w:rsidP="00E80C8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>Elle pose des recommandations qui visent notamment :</w:t>
      </w:r>
    </w:p>
    <w:p w:rsidR="00E80C85" w:rsidRPr="00E80C85" w:rsidRDefault="00E80C85" w:rsidP="00E80C85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>la décision et le suivi médical ;</w:t>
      </w:r>
    </w:p>
    <w:p w:rsidR="00E80C85" w:rsidRPr="00E80C85" w:rsidRDefault="00E80C85" w:rsidP="00E80C85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>l’évaluation au niveau national et régional, des établissements ;</w:t>
      </w:r>
    </w:p>
    <w:p w:rsidR="00E80C85" w:rsidRPr="00E80C85" w:rsidRDefault="00E80C85" w:rsidP="00E80C85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>les conditions matérielles ;</w:t>
      </w:r>
    </w:p>
    <w:p w:rsidR="00E80C85" w:rsidRPr="00E80C85" w:rsidRDefault="00E80C85" w:rsidP="00E80C85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l’information des droits et la formation des personnels, </w:t>
      </w:r>
    </w:p>
    <w:p w:rsidR="00E80C85" w:rsidRPr="00E80C85" w:rsidRDefault="00E80C85" w:rsidP="00E80C85">
      <w:pPr>
        <w:numPr>
          <w:ilvl w:val="0"/>
          <w:numId w:val="12"/>
        </w:numPr>
        <w:spacing w:after="0" w:line="240" w:lineRule="auto"/>
        <w:contextualSpacing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>la prévention des situations de crise</w:t>
      </w:r>
    </w:p>
    <w:p w:rsidR="00E80C85" w:rsidRPr="00E80C85" w:rsidRDefault="00E80C85" w:rsidP="00E80C8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:rsidR="00E80C85" w:rsidRPr="00E80C85" w:rsidRDefault="00E80C85" w:rsidP="00E80C8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En février 2017, l’HAS publie un dossier de </w:t>
      </w:r>
      <w:r w:rsidRPr="00E80C85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recommandations de bonnes pratiques</w:t>
      </w: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qui vient « mettre à jour » le référentiel relatif à la mise en chambre d'isolement de l'ANAES élaboré en 1998.</w:t>
      </w:r>
    </w:p>
    <w:p w:rsidR="00E80C85" w:rsidRPr="00E80C85" w:rsidRDefault="00E80C85" w:rsidP="00E80C8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:rsidR="00E80C85" w:rsidRPr="00E80C85" w:rsidRDefault="00E80C85" w:rsidP="00E80C8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L’instruction n° DGOS/R4/DGS/SP4/2017/109 du 29 mars 2017 décrit le rôle des ARS</w:t>
      </w: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:</w:t>
      </w:r>
    </w:p>
    <w:p w:rsidR="00E80C85" w:rsidRPr="00E80C85" w:rsidRDefault="00E80C85" w:rsidP="00E80C8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« L’ARS veille à la mise en œuvre</w:t>
      </w: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effective des registres au sein des établissements visés par l’article L. 3222-5-1 du code de la santé publique. L’ARS est destinataire du rapport annuel de chaque établissement rendant compte des pratiques de recours à l’isolement et à la contention.</w:t>
      </w:r>
    </w:p>
    <w:p w:rsidR="00E80C85" w:rsidRPr="00E80C85" w:rsidRDefault="00E80C85" w:rsidP="00E80C8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:rsidR="00E80C85" w:rsidRPr="00E80C85" w:rsidRDefault="00E80C85" w:rsidP="00E80C8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À partir de ces données et des rapports annuels, </w:t>
      </w:r>
      <w:r w:rsidRPr="00E80C85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les ARS mettent en œuvre une politique régionale</w:t>
      </w: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de suivi, d’analyse et de prévention du recours à la contention et à l’isolement.</w:t>
      </w:r>
    </w:p>
    <w:p w:rsidR="00E80C85" w:rsidRPr="00E80C85" w:rsidRDefault="00E80C85" w:rsidP="00E80C8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:rsidR="00E80C85" w:rsidRPr="00E80C85" w:rsidRDefault="00E80C85" w:rsidP="00E80C8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>Les efforts menés en matière prévention et de réduction de ces pratiques pourront être pris en compte dans le cadre des contrats pluriannuels d’objectifs et de moyens ».</w:t>
      </w:r>
    </w:p>
    <w:p w:rsidR="00E80C85" w:rsidRPr="00E80C85" w:rsidRDefault="00E80C85" w:rsidP="00E80C8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:rsidR="00E80C85" w:rsidRPr="00E80C85" w:rsidRDefault="00E80C85" w:rsidP="00E80C8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fr-FR" w:eastAsia="fr-FR"/>
        </w:rPr>
      </w:pPr>
      <w:r w:rsidRPr="00E80C85"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fr-FR" w:eastAsia="fr-FR"/>
        </w:rPr>
        <w:lastRenderedPageBreak/>
        <w:t>Décision du Conseil constitutionnel du</w:t>
      </w:r>
      <w:r w:rsidRPr="00E80C8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Pr="00E80C85">
        <w:rPr>
          <w:rFonts w:ascii="Arial" w:eastAsia="Times New Roman" w:hAnsi="Arial" w:cs="Arial"/>
          <w:b/>
          <w:sz w:val="20"/>
          <w:szCs w:val="20"/>
          <w:lang w:val="fr-FR" w:eastAsia="fr-FR"/>
        </w:rPr>
        <w:t>19 juin 2020</w:t>
      </w:r>
      <w:r w:rsidRPr="00E80C85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Pr="00E80C85">
        <w:rPr>
          <w:rFonts w:ascii="Arial" w:eastAsia="Times New Roman" w:hAnsi="Arial" w:cs="Arial"/>
          <w:b/>
          <w:sz w:val="20"/>
          <w:szCs w:val="20"/>
          <w:shd w:val="clear" w:color="auto" w:fill="FFFFFF"/>
          <w:lang w:val="fr-FR" w:eastAsia="fr-FR"/>
        </w:rPr>
        <w:t xml:space="preserve">: </w:t>
      </w:r>
      <w:r w:rsidRPr="00E80C85">
        <w:rPr>
          <w:rFonts w:ascii="Arial" w:eastAsia="Times New Roman" w:hAnsi="Arial" w:cs="Arial"/>
          <w:sz w:val="20"/>
          <w:szCs w:val="20"/>
          <w:shd w:val="clear" w:color="auto" w:fill="FFFFFF"/>
          <w:lang w:val="fr-FR" w:eastAsia="fr-FR"/>
        </w:rPr>
        <w:t>l’article L.3222 -5-1 est déclaré inconstitutionnel car il ne prévoit pas :</w:t>
      </w:r>
    </w:p>
    <w:p w:rsidR="00E80C85" w:rsidRPr="00E80C85" w:rsidRDefault="00E80C85" w:rsidP="00E80C85">
      <w:pPr>
        <w:numPr>
          <w:ilvl w:val="0"/>
          <w:numId w:val="11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fr-FR" w:eastAsia="fr-FR"/>
        </w:rPr>
      </w:pPr>
      <w:r w:rsidRPr="00E80C85">
        <w:rPr>
          <w:rFonts w:ascii="Arial" w:eastAsia="Times New Roman" w:hAnsi="Arial" w:cs="Arial"/>
          <w:sz w:val="20"/>
          <w:szCs w:val="20"/>
          <w:shd w:val="clear" w:color="auto" w:fill="FFFFFF"/>
          <w:lang w:val="fr-FR" w:eastAsia="fr-FR"/>
        </w:rPr>
        <w:t>de limite pour les mesures d’isolement et contention ;</w:t>
      </w:r>
    </w:p>
    <w:p w:rsidR="00E80C85" w:rsidRPr="00E80C85" w:rsidRDefault="00E80C85" w:rsidP="00E80C85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val="fr-FR" w:eastAsia="fr-FR"/>
        </w:rPr>
      </w:pPr>
      <w:r w:rsidRPr="00E80C85">
        <w:rPr>
          <w:rFonts w:ascii="Arial" w:eastAsia="Times New Roman" w:hAnsi="Arial" w:cs="Arial"/>
          <w:sz w:val="20"/>
          <w:szCs w:val="20"/>
          <w:shd w:val="clear" w:color="auto" w:fill="FFFFFF"/>
          <w:lang w:val="fr-FR" w:eastAsia="fr-FR"/>
        </w:rPr>
        <w:t>de contrôle du juge à partir d’une certaine durée.</w:t>
      </w:r>
    </w:p>
    <w:p w:rsidR="00E80C85" w:rsidRPr="00E80C85" w:rsidRDefault="00E80C85" w:rsidP="00E80C8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:rsidR="00E80C85" w:rsidRPr="00E80C85" w:rsidRDefault="00E80C85" w:rsidP="00E80C85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L’Article 84</w:t>
      </w: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de la Loi de Financement de la Sécurité Sociale (LFSS) 2021, entrée en vigueur le 16 décembre 2021 répond à ces deux conditions :</w:t>
      </w:r>
    </w:p>
    <w:p w:rsidR="00E80C85" w:rsidRPr="00E80C85" w:rsidRDefault="00E80C85" w:rsidP="00E80C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>en fixant la limite de la durée des mesures d’isolement (12 heures maximum) et de contention (6 heures maximum) ;</w:t>
      </w:r>
    </w:p>
    <w:p w:rsidR="00E80C85" w:rsidRPr="00E80C85" w:rsidRDefault="00E80C85" w:rsidP="00E80C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>en prévoyant l’information du juge des libertés et de la détention (JLD) au-delà des durées totales de 48 H pour l’isolement et 24 H pour la contention (limites proposées s’appuient notamment sur les recommandations de l’HAS évoquées supra).</w:t>
      </w:r>
    </w:p>
    <w:p w:rsidR="00E80C85" w:rsidRPr="00E80C85" w:rsidRDefault="00E80C85" w:rsidP="00E80C8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:rsidR="00E80C85" w:rsidRPr="00E80C85" w:rsidRDefault="00E80C85" w:rsidP="00E80C8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L’instruction N°DGOS/R4/2021/89 du 29 avril 2021</w:t>
      </w: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relative à l’accompagnement des établissements autorisés en psychiatrie pour la mise en œuvre du nouveau cadre relatif aux mesures d’isolement et contention prévoit une délégation de crédits :</w:t>
      </w:r>
    </w:p>
    <w:p w:rsidR="00E80C85" w:rsidRPr="00E80C85" w:rsidRDefault="00E80C85" w:rsidP="00E80C8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:rsidR="00E80C85" w:rsidRPr="00E80C85" w:rsidRDefault="00E80C85" w:rsidP="00E80C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>15M€ pérennes pour financer les recrutements, les binômes médecin/infirmier « référents isolement contention » et des actions de formation</w:t>
      </w:r>
    </w:p>
    <w:p w:rsidR="00E80C85" w:rsidRPr="00E80C85" w:rsidRDefault="00E80C85" w:rsidP="00E80C8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>20M€ non pérennes pour financer l’aménagement des locaux, l’achat de certains matériels ou la mise à niveau du Système d’Information.</w:t>
      </w:r>
    </w:p>
    <w:p w:rsidR="00E80C85" w:rsidRPr="00E80C85" w:rsidRDefault="00E80C85" w:rsidP="00E80C85">
      <w:pPr>
        <w:jc w:val="both"/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</w:pPr>
    </w:p>
    <w:p w:rsidR="00E80C85" w:rsidRPr="00E80C85" w:rsidRDefault="00E80C85" w:rsidP="00E80C85">
      <w:pPr>
        <w:jc w:val="both"/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Décision du Conseil Constitutionnel du 4 juin 2021</w:t>
      </w:r>
    </w:p>
    <w:p w:rsidR="00E80C85" w:rsidRPr="00E80C85" w:rsidRDefault="00E80C85" w:rsidP="00E80C85">
      <w:pPr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>Abrogation du 3</w:t>
      </w:r>
      <w:r w:rsidRPr="00E80C85">
        <w:rPr>
          <w:rFonts w:ascii="Arial" w:eastAsia="Times New Roman" w:hAnsi="Arial" w:cs="Arial"/>
          <w:bCs/>
          <w:sz w:val="20"/>
          <w:szCs w:val="20"/>
          <w:vertAlign w:val="superscript"/>
          <w:lang w:val="fr-FR" w:eastAsia="fr-FR"/>
        </w:rPr>
        <w:t>ème</w:t>
      </w: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et 6</w:t>
      </w:r>
      <w:r w:rsidRPr="00E80C85">
        <w:rPr>
          <w:rFonts w:ascii="Arial" w:eastAsia="Times New Roman" w:hAnsi="Arial" w:cs="Arial"/>
          <w:bCs/>
          <w:sz w:val="20"/>
          <w:szCs w:val="20"/>
          <w:vertAlign w:val="superscript"/>
          <w:lang w:val="fr-FR" w:eastAsia="fr-FR"/>
        </w:rPr>
        <w:t>ème</w:t>
      </w: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 xml:space="preserve"> alinéa de l’article L.3222-5-1 du CSP à partir du 31 décembre 2021, pas de contrôle systématique par le JLD des mesures au-delà d’une certaine durée.</w:t>
      </w:r>
    </w:p>
    <w:p w:rsidR="00E80C85" w:rsidRPr="00E80C85" w:rsidRDefault="00E80C85" w:rsidP="00E80C8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>L’article 84 est applicable dans sa totalité jusqu’au 31 décembre 2021</w:t>
      </w:r>
    </w:p>
    <w:p w:rsidR="00E80C85" w:rsidRPr="00E80C85" w:rsidRDefault="00E80C85" w:rsidP="00E80C8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  <w:r w:rsidRPr="00E80C85">
        <w:rPr>
          <w:rFonts w:ascii="Arial" w:eastAsia="Times New Roman" w:hAnsi="Arial" w:cs="Arial"/>
          <w:bCs/>
          <w:sz w:val="20"/>
          <w:szCs w:val="20"/>
          <w:lang w:val="fr-FR" w:eastAsia="fr-FR"/>
        </w:rPr>
        <w:t>Les deux alinéas devront être réécrits pour une entrée en vigueur avant le 31 décembre.</w:t>
      </w:r>
    </w:p>
    <w:p w:rsidR="00E80C85" w:rsidRPr="00E80C85" w:rsidRDefault="00E80C85" w:rsidP="00E80C85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fr-FR" w:eastAsia="fr-FR"/>
        </w:rPr>
      </w:pPr>
    </w:p>
    <w:p w:rsidR="00E64EB0" w:rsidRPr="00E80C85" w:rsidRDefault="00E80C85" w:rsidP="00FD3D3F">
      <w:pPr>
        <w:pStyle w:val="Paragraphedeliste1"/>
        <w:spacing w:line="276" w:lineRule="auto"/>
        <w:jc w:val="both"/>
        <w:rPr>
          <w:rFonts w:ascii="Arial" w:eastAsiaTheme="majorEastAsia" w:hAnsi="Arial" w:cs="Arial"/>
          <w:b/>
          <w:bCs/>
          <w:i/>
          <w:color w:val="4F81BD" w:themeColor="accent1"/>
          <w:sz w:val="20"/>
          <w:szCs w:val="20"/>
        </w:rPr>
      </w:pPr>
      <w:r w:rsidRPr="00E80C85">
        <w:rPr>
          <w:rFonts w:ascii="Arial" w:eastAsiaTheme="majorEastAsia" w:hAnsi="Arial" w:cs="Arial"/>
          <w:b/>
          <w:bCs/>
          <w:i/>
          <w:color w:val="4F81BD" w:themeColor="accent1"/>
          <w:sz w:val="20"/>
          <w:szCs w:val="20"/>
        </w:rPr>
        <w:t>Public visé</w:t>
      </w:r>
      <w:r w:rsidR="00FD3D3F" w:rsidRPr="00E80C85">
        <w:rPr>
          <w:rFonts w:ascii="Arial" w:eastAsiaTheme="majorEastAsia" w:hAnsi="Arial" w:cs="Arial"/>
          <w:b/>
          <w:bCs/>
          <w:i/>
          <w:color w:val="4F81BD" w:themeColor="accent1"/>
          <w:sz w:val="20"/>
          <w:szCs w:val="20"/>
        </w:rPr>
        <w:t> </w:t>
      </w:r>
    </w:p>
    <w:p w:rsidR="00E64EB0" w:rsidRPr="00E80C85" w:rsidRDefault="00E80C85" w:rsidP="00FD3D3F">
      <w:pPr>
        <w:pStyle w:val="Paragraphedeliste1"/>
        <w:numPr>
          <w:ilvl w:val="1"/>
          <w:numId w:val="9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E80C85">
        <w:rPr>
          <w:rFonts w:ascii="Arial" w:eastAsiaTheme="minorHAnsi" w:hAnsi="Arial" w:cs="Arial"/>
          <w:sz w:val="20"/>
          <w:szCs w:val="20"/>
        </w:rPr>
        <w:t>les p</w:t>
      </w:r>
      <w:r w:rsidR="00E64EB0" w:rsidRPr="00E80C85">
        <w:rPr>
          <w:rFonts w:ascii="Arial" w:eastAsiaTheme="minorHAnsi" w:hAnsi="Arial" w:cs="Arial"/>
          <w:sz w:val="20"/>
          <w:szCs w:val="20"/>
        </w:rPr>
        <w:t xml:space="preserve">ersonnes </w:t>
      </w:r>
      <w:r w:rsidRPr="00E80C85">
        <w:rPr>
          <w:rFonts w:ascii="Arial" w:eastAsiaTheme="minorHAnsi" w:hAnsi="Arial" w:cs="Arial"/>
          <w:sz w:val="20"/>
          <w:szCs w:val="20"/>
        </w:rPr>
        <w:t>hospitalisées en soins sans consentement ;</w:t>
      </w:r>
    </w:p>
    <w:p w:rsidR="00C94A50" w:rsidRPr="00E80C85" w:rsidRDefault="00E80C85" w:rsidP="00FD3D3F">
      <w:pPr>
        <w:pStyle w:val="Paragraphedeliste1"/>
        <w:numPr>
          <w:ilvl w:val="1"/>
          <w:numId w:val="9"/>
        </w:numPr>
        <w:spacing w:line="276" w:lineRule="auto"/>
        <w:jc w:val="both"/>
        <w:rPr>
          <w:rFonts w:ascii="Arial" w:eastAsiaTheme="minorHAnsi" w:hAnsi="Arial" w:cs="Arial"/>
          <w:sz w:val="20"/>
          <w:szCs w:val="20"/>
        </w:rPr>
      </w:pPr>
      <w:r w:rsidRPr="00E80C85">
        <w:rPr>
          <w:rFonts w:ascii="Arial" w:eastAsiaTheme="minorHAnsi" w:hAnsi="Arial" w:cs="Arial"/>
          <w:sz w:val="20"/>
          <w:szCs w:val="20"/>
        </w:rPr>
        <w:t>l</w:t>
      </w:r>
      <w:r w:rsidR="00E64EB0" w:rsidRPr="00E80C85">
        <w:rPr>
          <w:rFonts w:ascii="Arial" w:eastAsiaTheme="minorHAnsi" w:hAnsi="Arial" w:cs="Arial"/>
          <w:sz w:val="20"/>
          <w:szCs w:val="20"/>
        </w:rPr>
        <w:t xml:space="preserve">es </w:t>
      </w:r>
      <w:r w:rsidRPr="00E80C85">
        <w:rPr>
          <w:rFonts w:ascii="Arial" w:eastAsiaTheme="minorHAnsi" w:hAnsi="Arial" w:cs="Arial"/>
          <w:sz w:val="20"/>
          <w:szCs w:val="20"/>
        </w:rPr>
        <w:t>établissements autorisés en psychiatrie désignés par le Directeur Général de l’ARS pour assurer les soins psychiatriques sans consentement.</w:t>
      </w:r>
      <w:bookmarkStart w:id="0" w:name="_Toc12278233"/>
    </w:p>
    <w:bookmarkEnd w:id="0"/>
    <w:p w:rsidR="00E64EB0" w:rsidRPr="00E80C85" w:rsidRDefault="00EE3A29" w:rsidP="00FD3D3F">
      <w:pPr>
        <w:pStyle w:val="Titre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Objet de l’AMI</w:t>
      </w:r>
    </w:p>
    <w:p w:rsidR="00FD3D3F" w:rsidRPr="00E80C85" w:rsidRDefault="00FD3D3F" w:rsidP="00732291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D70144" w:rsidRDefault="00D70144" w:rsidP="00D70144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Depuis l’instruction DGOS/DGS du 29 mars 2017, les établissements autorisés en psychiatrie recevant des patients en soins sans consentement doivent mettre en place une </w:t>
      </w:r>
      <w:r w:rsidRPr="00E80C85">
        <w:rPr>
          <w:rFonts w:ascii="Arial" w:hAnsi="Arial" w:cs="Arial"/>
          <w:sz w:val="20"/>
          <w:szCs w:val="20"/>
          <w:lang w:val="fr-FR"/>
        </w:rPr>
        <w:t xml:space="preserve">politique d’amélioration de la qualité des prises en charge </w:t>
      </w:r>
      <w:r>
        <w:rPr>
          <w:rFonts w:ascii="Arial" w:hAnsi="Arial" w:cs="Arial"/>
          <w:sz w:val="20"/>
          <w:szCs w:val="20"/>
          <w:lang w:val="fr-FR"/>
        </w:rPr>
        <w:t>de ces patients et réduction</w:t>
      </w:r>
      <w:r w:rsidRPr="00E80C85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</w:t>
      </w:r>
      <w:r w:rsidRPr="00E80C85">
        <w:rPr>
          <w:rFonts w:ascii="Arial" w:hAnsi="Arial" w:cs="Arial"/>
          <w:sz w:val="20"/>
          <w:szCs w:val="20"/>
          <w:lang w:val="fr-FR"/>
        </w:rPr>
        <w:t>es pratiques d’isolement et de contention</w:t>
      </w:r>
      <w:r>
        <w:rPr>
          <w:rFonts w:ascii="Arial" w:hAnsi="Arial" w:cs="Arial"/>
          <w:sz w:val="20"/>
          <w:szCs w:val="20"/>
          <w:lang w:val="fr-FR"/>
        </w:rPr>
        <w:t xml:space="preserve">. </w:t>
      </w:r>
      <w:r w:rsidRPr="00D70144">
        <w:rPr>
          <w:rFonts w:ascii="Arial" w:hAnsi="Arial" w:cs="Arial"/>
          <w:sz w:val="20"/>
          <w:szCs w:val="20"/>
          <w:lang w:val="fr-FR"/>
        </w:rPr>
        <w:t>Cette</w:t>
      </w:r>
      <w:r w:rsidR="00E80C85" w:rsidRPr="00D70144">
        <w:rPr>
          <w:rFonts w:ascii="Arial" w:hAnsi="Arial" w:cs="Arial"/>
          <w:sz w:val="20"/>
          <w:szCs w:val="20"/>
          <w:lang w:val="fr-FR"/>
        </w:rPr>
        <w:t xml:space="preserve"> politique </w:t>
      </w:r>
      <w:r w:rsidRPr="00D70144">
        <w:rPr>
          <w:rFonts w:ascii="Arial" w:hAnsi="Arial" w:cs="Arial"/>
          <w:sz w:val="20"/>
          <w:szCs w:val="20"/>
          <w:lang w:val="fr-FR"/>
        </w:rPr>
        <w:t xml:space="preserve">doit mobiliser les professionnels de l’établissement de </w:t>
      </w:r>
      <w:r w:rsidR="00E80C85" w:rsidRPr="00D70144">
        <w:rPr>
          <w:rFonts w:ascii="Arial" w:hAnsi="Arial" w:cs="Arial"/>
          <w:sz w:val="20"/>
          <w:szCs w:val="20"/>
          <w:lang w:val="fr-FR"/>
        </w:rPr>
        <w:t>(Direction des soins, Président de CME, chefs de pôle, chefs de service, médecins et équipes soignantes)</w:t>
      </w:r>
      <w:r w:rsidRPr="00D70144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E80C85" w:rsidRDefault="00D70144" w:rsidP="00D70144">
      <w:pPr>
        <w:jc w:val="both"/>
        <w:rPr>
          <w:rFonts w:ascii="Arial" w:hAnsi="Arial" w:cs="Arial"/>
          <w:sz w:val="20"/>
          <w:szCs w:val="20"/>
        </w:rPr>
      </w:pPr>
      <w:r w:rsidRPr="00D70144">
        <w:rPr>
          <w:rFonts w:ascii="Arial" w:hAnsi="Arial" w:cs="Arial"/>
          <w:sz w:val="20"/>
          <w:szCs w:val="20"/>
          <w:lang w:val="fr-FR"/>
        </w:rPr>
        <w:lastRenderedPageBreak/>
        <w:t xml:space="preserve">Cette démarche </w:t>
      </w:r>
      <w:r>
        <w:rPr>
          <w:rFonts w:ascii="Arial" w:hAnsi="Arial" w:cs="Arial"/>
          <w:sz w:val="20"/>
          <w:szCs w:val="20"/>
          <w:lang w:val="fr-FR"/>
        </w:rPr>
        <w:t>s’inscrit</w:t>
      </w:r>
      <w:r w:rsidRPr="00D70144">
        <w:rPr>
          <w:rFonts w:ascii="Arial" w:hAnsi="Arial" w:cs="Arial"/>
          <w:sz w:val="20"/>
          <w:szCs w:val="20"/>
          <w:lang w:val="fr-FR"/>
        </w:rPr>
        <w:t xml:space="preserve"> dans </w:t>
      </w:r>
      <w:r w:rsidR="00E80C85" w:rsidRPr="00D70144">
        <w:rPr>
          <w:rFonts w:ascii="Arial" w:hAnsi="Arial" w:cs="Arial"/>
          <w:sz w:val="20"/>
          <w:szCs w:val="20"/>
          <w:lang w:val="fr-FR"/>
        </w:rPr>
        <w:t>le programme continu d’amélioration de la qualité</w:t>
      </w:r>
      <w:r w:rsidRPr="00D70144">
        <w:rPr>
          <w:rFonts w:ascii="Arial" w:hAnsi="Arial" w:cs="Arial"/>
          <w:sz w:val="20"/>
          <w:szCs w:val="20"/>
          <w:lang w:val="fr-FR"/>
        </w:rPr>
        <w:t xml:space="preserve"> avec </w:t>
      </w:r>
      <w:r w:rsidR="00E80C85" w:rsidRPr="00D70144">
        <w:rPr>
          <w:rFonts w:ascii="Arial" w:hAnsi="Arial" w:cs="Arial"/>
          <w:sz w:val="20"/>
          <w:szCs w:val="20"/>
          <w:lang w:val="fr-FR"/>
        </w:rPr>
        <w:t xml:space="preserve">mise en place </w:t>
      </w:r>
      <w:r w:rsidRPr="00D70144">
        <w:rPr>
          <w:rFonts w:ascii="Arial" w:hAnsi="Arial" w:cs="Arial"/>
          <w:sz w:val="20"/>
          <w:szCs w:val="20"/>
          <w:lang w:val="fr-FR"/>
        </w:rPr>
        <w:t xml:space="preserve">d’actions </w:t>
      </w:r>
      <w:r w:rsidR="00E80C85" w:rsidRPr="00D70144">
        <w:rPr>
          <w:rFonts w:ascii="Arial" w:hAnsi="Arial" w:cs="Arial"/>
          <w:sz w:val="20"/>
          <w:szCs w:val="20"/>
          <w:lang w:val="fr-FR"/>
        </w:rPr>
        <w:t xml:space="preserve">en faveur des droits des </w:t>
      </w:r>
      <w:r w:rsidRPr="00D70144">
        <w:rPr>
          <w:rFonts w:ascii="Arial" w:hAnsi="Arial" w:cs="Arial"/>
          <w:sz w:val="20"/>
          <w:szCs w:val="20"/>
          <w:lang w:val="fr-FR"/>
        </w:rPr>
        <w:t>maladies</w:t>
      </w:r>
      <w:r>
        <w:rPr>
          <w:rFonts w:ascii="Arial" w:hAnsi="Arial" w:cs="Arial"/>
          <w:sz w:val="20"/>
          <w:szCs w:val="20"/>
          <w:lang w:val="fr-FR"/>
        </w:rPr>
        <w:t>,</w:t>
      </w:r>
      <w:r w:rsidRPr="00D70144">
        <w:rPr>
          <w:rFonts w:ascii="Arial" w:hAnsi="Arial" w:cs="Arial"/>
          <w:sz w:val="20"/>
          <w:szCs w:val="20"/>
          <w:lang w:val="fr-FR"/>
        </w:rPr>
        <w:t xml:space="preserve"> dans le projet </w:t>
      </w:r>
      <w:r>
        <w:rPr>
          <w:rFonts w:ascii="Arial" w:hAnsi="Arial" w:cs="Arial"/>
          <w:sz w:val="20"/>
          <w:szCs w:val="20"/>
          <w:lang w:val="fr-FR"/>
        </w:rPr>
        <w:t>mé</w:t>
      </w:r>
      <w:r w:rsidRPr="00D70144">
        <w:rPr>
          <w:rFonts w:ascii="Arial" w:hAnsi="Arial" w:cs="Arial"/>
          <w:sz w:val="20"/>
          <w:szCs w:val="20"/>
          <w:lang w:val="fr-FR"/>
        </w:rPr>
        <w:t>dical et</w:t>
      </w:r>
      <w:r w:rsidR="00E80C85" w:rsidRPr="00D70144">
        <w:rPr>
          <w:rFonts w:ascii="Arial" w:hAnsi="Arial" w:cs="Arial"/>
          <w:sz w:val="20"/>
          <w:szCs w:val="20"/>
          <w:lang w:val="fr-FR"/>
        </w:rPr>
        <w:t xml:space="preserve"> le projet de soins</w:t>
      </w:r>
      <w:r>
        <w:rPr>
          <w:rFonts w:ascii="Arial" w:hAnsi="Arial" w:cs="Arial"/>
          <w:sz w:val="20"/>
          <w:szCs w:val="20"/>
          <w:lang w:val="fr-FR"/>
        </w:rPr>
        <w:t xml:space="preserve"> en associant le comité d’éthique, les usagers et leurs représentants.</w:t>
      </w:r>
    </w:p>
    <w:p w:rsidR="00EE3A29" w:rsidRDefault="00EE3A29" w:rsidP="00FD3D3F">
      <w:p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Cet AMI porte sur les aménagements matériels envisagés afin de développer des alternatives au recours à l’isolement et à la contention, par exemple des salons d’apaisements, espaces aménagés favorisant des entretiens dans un climat apaisé et/ou acquisition de certains matériels de médiation ou de mettre à niveau les systèmes d’information.</w:t>
      </w:r>
    </w:p>
    <w:p w:rsidR="00E64EB0" w:rsidRPr="00E80C85" w:rsidRDefault="00E64EB0" w:rsidP="00732291">
      <w:pPr>
        <w:pStyle w:val="Paragraphedeliste1"/>
        <w:spacing w:after="0" w:line="276" w:lineRule="auto"/>
        <w:jc w:val="both"/>
        <w:rPr>
          <w:rFonts w:ascii="Arial" w:eastAsiaTheme="majorEastAsia" w:hAnsi="Arial" w:cs="Arial"/>
          <w:b/>
          <w:bCs/>
          <w:i/>
          <w:color w:val="4F81BD" w:themeColor="accent1"/>
          <w:sz w:val="20"/>
          <w:szCs w:val="20"/>
        </w:rPr>
      </w:pPr>
    </w:p>
    <w:p w:rsidR="00866EE0" w:rsidRPr="00E80C85" w:rsidRDefault="00C94A50" w:rsidP="00D70144">
      <w:pPr>
        <w:pStyle w:val="Paragraphedeliste1"/>
        <w:spacing w:line="276" w:lineRule="auto"/>
        <w:ind w:left="360"/>
        <w:jc w:val="both"/>
        <w:rPr>
          <w:rFonts w:ascii="Arial" w:eastAsiaTheme="majorEastAsia" w:hAnsi="Arial" w:cs="Arial"/>
          <w:b/>
          <w:bCs/>
          <w:i/>
          <w:color w:val="4F81BD" w:themeColor="accent1"/>
          <w:sz w:val="20"/>
          <w:szCs w:val="20"/>
        </w:rPr>
      </w:pPr>
      <w:r w:rsidRPr="00E80C85">
        <w:rPr>
          <w:rFonts w:ascii="Arial" w:eastAsiaTheme="majorEastAsia" w:hAnsi="Arial" w:cs="Arial"/>
          <w:b/>
          <w:bCs/>
          <w:i/>
          <w:color w:val="4F81BD" w:themeColor="accent1"/>
          <w:sz w:val="20"/>
          <w:szCs w:val="20"/>
        </w:rPr>
        <w:t xml:space="preserve">Pour les projets </w:t>
      </w:r>
      <w:r w:rsidR="00D70144">
        <w:rPr>
          <w:rFonts w:ascii="Arial" w:eastAsiaTheme="majorEastAsia" w:hAnsi="Arial" w:cs="Arial"/>
          <w:b/>
          <w:bCs/>
          <w:i/>
          <w:color w:val="4F81BD" w:themeColor="accent1"/>
          <w:sz w:val="20"/>
          <w:szCs w:val="20"/>
        </w:rPr>
        <w:t>en réponse à l’AMI</w:t>
      </w:r>
    </w:p>
    <w:p w:rsidR="00E64EB0" w:rsidRPr="00E80C85" w:rsidRDefault="00E64EB0" w:rsidP="00FD3D3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80C85">
        <w:rPr>
          <w:rFonts w:ascii="Arial" w:hAnsi="Arial" w:cs="Arial"/>
          <w:sz w:val="20"/>
          <w:szCs w:val="20"/>
          <w:lang w:val="fr-FR"/>
        </w:rPr>
        <w:t xml:space="preserve">Le candidat devra </w:t>
      </w:r>
      <w:r w:rsidR="009B2BEB">
        <w:rPr>
          <w:rFonts w:ascii="Arial" w:hAnsi="Arial" w:cs="Arial"/>
          <w:sz w:val="20"/>
          <w:szCs w:val="20"/>
          <w:lang w:val="fr-FR"/>
        </w:rPr>
        <w:t>présenter un dossier comprenant les éléments suivants :</w:t>
      </w:r>
      <w:r w:rsidR="009B2BEB" w:rsidRPr="00E80C85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9B2BEB" w:rsidRDefault="00A52205" w:rsidP="009B2BE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357F89">
        <w:rPr>
          <w:rFonts w:ascii="Arial" w:hAnsi="Arial" w:cs="Arial"/>
          <w:sz w:val="20"/>
          <w:szCs w:val="20"/>
        </w:rPr>
        <w:t>n dossier de présentation</w:t>
      </w:r>
      <w:r>
        <w:rPr>
          <w:rFonts w:ascii="Arial" w:hAnsi="Arial" w:cs="Arial"/>
          <w:sz w:val="20"/>
          <w:szCs w:val="20"/>
        </w:rPr>
        <w:t xml:space="preserve"> des aménagements à mettre en œuvre argumenté au regard des besoins identifiés ;</w:t>
      </w:r>
    </w:p>
    <w:p w:rsidR="00A52205" w:rsidRDefault="00A52205" w:rsidP="009B2BE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fiche financière ;</w:t>
      </w:r>
    </w:p>
    <w:p w:rsidR="009B2BEB" w:rsidRPr="002F3561" w:rsidRDefault="009B2BEB" w:rsidP="009B2BE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le </w:t>
      </w:r>
      <w:r w:rsidRPr="00E80C85">
        <w:rPr>
          <w:rFonts w:ascii="Arial" w:eastAsia="Times New Roman" w:hAnsi="Arial" w:cs="Arial"/>
          <w:bCs/>
          <w:sz w:val="20"/>
          <w:szCs w:val="20"/>
          <w:lang w:eastAsia="fr-FR"/>
        </w:rPr>
        <w:t>rapport annuel rendant compte des pratiques de recours à l’isolement et à la contention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pour l’année 2020 ;</w:t>
      </w:r>
    </w:p>
    <w:p w:rsidR="002F3561" w:rsidRDefault="002F3561" w:rsidP="009B2BE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les procédures relatives au recours à l’isolement et la contention des patients ;</w:t>
      </w:r>
    </w:p>
    <w:p w:rsidR="00287F48" w:rsidRDefault="006449B4" w:rsidP="00FD3D3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9B2BEB">
        <w:rPr>
          <w:rFonts w:ascii="Arial" w:hAnsi="Arial" w:cs="Arial"/>
          <w:sz w:val="20"/>
          <w:szCs w:val="20"/>
        </w:rPr>
        <w:t>es documents relatifs à</w:t>
      </w:r>
      <w:r w:rsidR="009B2BEB" w:rsidRPr="00E80C85">
        <w:rPr>
          <w:rFonts w:ascii="Arial" w:hAnsi="Arial" w:cs="Arial"/>
          <w:sz w:val="20"/>
          <w:szCs w:val="20"/>
        </w:rPr>
        <w:t xml:space="preserve"> </w:t>
      </w:r>
      <w:r w:rsidR="009B2BEB">
        <w:rPr>
          <w:rFonts w:ascii="Arial" w:hAnsi="Arial" w:cs="Arial"/>
          <w:sz w:val="20"/>
          <w:szCs w:val="20"/>
        </w:rPr>
        <w:t>l</w:t>
      </w:r>
      <w:r w:rsidR="009B2BEB" w:rsidRPr="00E80C85">
        <w:rPr>
          <w:rFonts w:ascii="Arial" w:hAnsi="Arial" w:cs="Arial"/>
          <w:sz w:val="20"/>
          <w:szCs w:val="20"/>
        </w:rPr>
        <w:t xml:space="preserve">a </w:t>
      </w:r>
      <w:r w:rsidR="009B2BEB">
        <w:rPr>
          <w:rFonts w:ascii="Arial" w:hAnsi="Arial" w:cs="Arial"/>
          <w:sz w:val="20"/>
          <w:szCs w:val="20"/>
        </w:rPr>
        <w:t>politique d’amélioration de la qualité des prises en charge des patients en soins sous contrainte et à la réduction du recours à l’isolement et à la contention</w:t>
      </w:r>
      <w:r>
        <w:rPr>
          <w:rFonts w:ascii="Arial" w:hAnsi="Arial" w:cs="Arial"/>
          <w:sz w:val="20"/>
          <w:szCs w:val="20"/>
        </w:rPr>
        <w:t>.</w:t>
      </w:r>
    </w:p>
    <w:p w:rsidR="00003074" w:rsidRPr="00E80C85" w:rsidRDefault="00003074" w:rsidP="00FD3D3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80C85">
        <w:rPr>
          <w:rFonts w:ascii="Arial" w:hAnsi="Arial" w:cs="Arial"/>
          <w:sz w:val="20"/>
          <w:szCs w:val="20"/>
          <w:lang w:val="fr-FR"/>
        </w:rPr>
        <w:t>Les candidats pourront joindre tout document leur paraissant utile à la compréhension de leur projet.</w:t>
      </w:r>
    </w:p>
    <w:p w:rsidR="002C1CB4" w:rsidRPr="00E80C85" w:rsidRDefault="002C1CB4" w:rsidP="00FD3D3F">
      <w:pPr>
        <w:jc w:val="both"/>
        <w:rPr>
          <w:rFonts w:ascii="Arial" w:hAnsi="Arial" w:cs="Arial"/>
          <w:b/>
          <w:i/>
          <w:color w:val="0070C0"/>
          <w:sz w:val="20"/>
          <w:szCs w:val="20"/>
          <w:lang w:val="fr-FR"/>
        </w:rPr>
      </w:pPr>
      <w:r w:rsidRPr="00E80C85">
        <w:rPr>
          <w:rFonts w:ascii="Arial" w:hAnsi="Arial" w:cs="Arial"/>
          <w:b/>
          <w:i/>
          <w:color w:val="0070C0"/>
          <w:sz w:val="20"/>
          <w:szCs w:val="20"/>
          <w:lang w:val="fr-FR"/>
        </w:rPr>
        <w:t>Calendrier </w:t>
      </w:r>
    </w:p>
    <w:p w:rsidR="00895A0B" w:rsidRPr="00E80C85" w:rsidRDefault="00464A65" w:rsidP="00FD3D3F">
      <w:pPr>
        <w:pStyle w:val="Sansinterligne"/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r w:rsidRPr="00E80C85">
        <w:rPr>
          <w:rFonts w:ascii="Arial" w:hAnsi="Arial" w:cs="Arial"/>
          <w:sz w:val="20"/>
          <w:szCs w:val="20"/>
          <w:lang w:val="fr-FR"/>
        </w:rPr>
        <w:t>Les dossiers de demande doivent être transmis par mail à l’adresse suivant</w:t>
      </w:r>
      <w:r w:rsidR="00895A0B" w:rsidRPr="00E80C85">
        <w:rPr>
          <w:rFonts w:ascii="Arial" w:hAnsi="Arial" w:cs="Arial"/>
          <w:sz w:val="20"/>
          <w:szCs w:val="20"/>
          <w:lang w:val="fr-FR"/>
        </w:rPr>
        <w:t>e</w:t>
      </w:r>
      <w:r w:rsidRPr="00E80C85">
        <w:rPr>
          <w:rFonts w:ascii="Arial" w:hAnsi="Arial" w:cs="Arial"/>
          <w:sz w:val="20"/>
          <w:szCs w:val="20"/>
          <w:lang w:val="fr-FR"/>
        </w:rPr>
        <w:t> :</w:t>
      </w:r>
    </w:p>
    <w:p w:rsidR="00895A0B" w:rsidRPr="00E80C85" w:rsidRDefault="00D75A0F" w:rsidP="00FD3D3F">
      <w:pPr>
        <w:pStyle w:val="Sansinterligne"/>
        <w:spacing w:line="276" w:lineRule="auto"/>
        <w:contextualSpacing/>
        <w:jc w:val="both"/>
        <w:rPr>
          <w:rFonts w:ascii="Arial" w:hAnsi="Arial" w:cs="Arial"/>
          <w:b/>
          <w:sz w:val="21"/>
          <w:szCs w:val="21"/>
          <w:lang w:val="fr-FR"/>
        </w:rPr>
      </w:pPr>
      <w:hyperlink r:id="rId9" w:history="1">
        <w:r w:rsidR="00A52205" w:rsidRPr="00D21A31">
          <w:rPr>
            <w:rStyle w:val="Lienhypertexte"/>
            <w:rFonts w:ascii="Arial" w:hAnsi="Arial" w:cs="Arial"/>
            <w:b/>
            <w:sz w:val="21"/>
            <w:szCs w:val="21"/>
            <w:lang w:val="fr-FR"/>
          </w:rPr>
          <w:t>ars-grandest-offre-sanitaire@ars.sante.fr</w:t>
        </w:r>
      </w:hyperlink>
    </w:p>
    <w:p w:rsidR="00464A65" w:rsidRPr="00E80C85" w:rsidRDefault="00464A65" w:rsidP="00FD3D3F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464A65" w:rsidRPr="00E80C85" w:rsidRDefault="00895A0B" w:rsidP="00732291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E80C85">
        <w:rPr>
          <w:rFonts w:ascii="Arial" w:hAnsi="Arial" w:cs="Arial"/>
          <w:sz w:val="20"/>
          <w:szCs w:val="20"/>
          <w:lang w:val="fr-FR"/>
        </w:rPr>
        <w:t xml:space="preserve">La date limite de réception des dossiers est </w:t>
      </w:r>
      <w:r w:rsidR="00A52205">
        <w:rPr>
          <w:rFonts w:ascii="Arial" w:hAnsi="Arial" w:cs="Arial"/>
          <w:sz w:val="20"/>
          <w:szCs w:val="20"/>
          <w:lang w:val="fr-FR"/>
        </w:rPr>
        <w:t xml:space="preserve">le </w:t>
      </w:r>
      <w:r w:rsidR="00A52205" w:rsidRPr="00A52205">
        <w:rPr>
          <w:rFonts w:ascii="Arial" w:hAnsi="Arial" w:cs="Arial"/>
          <w:b/>
          <w:sz w:val="20"/>
          <w:szCs w:val="20"/>
          <w:lang w:val="fr-FR"/>
        </w:rPr>
        <w:t>15 décembre 2021</w:t>
      </w:r>
    </w:p>
    <w:p w:rsidR="002C1CB4" w:rsidRPr="00E80C85" w:rsidRDefault="002C1CB4" w:rsidP="00FD3D3F">
      <w:pPr>
        <w:jc w:val="both"/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895A0B" w:rsidRPr="00E80C85" w:rsidTr="00895A0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0B" w:rsidRPr="00E80C85" w:rsidRDefault="00895A0B" w:rsidP="00FD3D3F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0C85">
              <w:rPr>
                <w:rFonts w:ascii="Arial" w:hAnsi="Arial" w:cs="Arial"/>
                <w:sz w:val="21"/>
                <w:szCs w:val="21"/>
              </w:rPr>
              <w:t>Date de publication de l’appel à projet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0B" w:rsidRPr="00A52205" w:rsidRDefault="007D191E" w:rsidP="00A52205">
            <w:pPr>
              <w:spacing w:line="276" w:lineRule="auto"/>
              <w:ind w:left="215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</w:t>
            </w:r>
            <w:bookmarkStart w:id="1" w:name="_GoBack"/>
            <w:bookmarkEnd w:id="1"/>
            <w:r w:rsidR="00A52205" w:rsidRPr="00A52205">
              <w:rPr>
                <w:rFonts w:ascii="Arial" w:hAnsi="Arial" w:cs="Arial"/>
                <w:b/>
                <w:sz w:val="21"/>
                <w:szCs w:val="21"/>
              </w:rPr>
              <w:t xml:space="preserve"> octobre 2</w:t>
            </w:r>
            <w:r w:rsidR="00895A0B" w:rsidRPr="00A52205">
              <w:rPr>
                <w:rFonts w:ascii="Arial" w:hAnsi="Arial" w:cs="Arial"/>
                <w:b/>
                <w:sz w:val="21"/>
                <w:szCs w:val="21"/>
              </w:rPr>
              <w:t>021</w:t>
            </w:r>
          </w:p>
        </w:tc>
      </w:tr>
      <w:tr w:rsidR="00895A0B" w:rsidRPr="00E80C85" w:rsidTr="00895A0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0B" w:rsidRPr="00E80C85" w:rsidRDefault="00895A0B" w:rsidP="00FD3D3F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0C85">
              <w:rPr>
                <w:rFonts w:ascii="Arial" w:hAnsi="Arial" w:cs="Arial"/>
                <w:sz w:val="21"/>
                <w:szCs w:val="21"/>
              </w:rPr>
              <w:t>Date limite de réception des dossiers de candidature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0B" w:rsidRPr="00E80C85" w:rsidRDefault="00A52205" w:rsidP="00A52205">
            <w:pPr>
              <w:spacing w:line="276" w:lineRule="auto"/>
              <w:ind w:left="215"/>
              <w:contextualSpacing/>
              <w:jc w:val="both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A52205">
              <w:rPr>
                <w:rFonts w:ascii="Arial" w:hAnsi="Arial" w:cs="Arial"/>
                <w:b/>
                <w:sz w:val="21"/>
                <w:szCs w:val="21"/>
              </w:rPr>
              <w:t xml:space="preserve">15 </w:t>
            </w:r>
            <w:r>
              <w:rPr>
                <w:rFonts w:ascii="Arial" w:hAnsi="Arial" w:cs="Arial"/>
                <w:b/>
                <w:sz w:val="21"/>
                <w:szCs w:val="21"/>
              </w:rPr>
              <w:t>décembre</w:t>
            </w:r>
            <w:r w:rsidRPr="00A52205">
              <w:rPr>
                <w:rFonts w:ascii="Arial" w:hAnsi="Arial" w:cs="Arial"/>
                <w:b/>
                <w:sz w:val="21"/>
                <w:szCs w:val="21"/>
              </w:rPr>
              <w:t xml:space="preserve"> 2021</w:t>
            </w:r>
          </w:p>
        </w:tc>
      </w:tr>
      <w:tr w:rsidR="00895A0B" w:rsidRPr="00E80C85" w:rsidTr="00895A0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0B" w:rsidRPr="00E80C85" w:rsidRDefault="00895A0B" w:rsidP="00FD3D3F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0C85">
              <w:rPr>
                <w:rFonts w:ascii="Arial" w:hAnsi="Arial" w:cs="Arial"/>
                <w:sz w:val="21"/>
                <w:szCs w:val="21"/>
              </w:rPr>
              <w:t>Date prévisionnelle de notification aux candidats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0B" w:rsidRPr="00A52205" w:rsidRDefault="00A52205" w:rsidP="00FD3D3F">
            <w:pPr>
              <w:spacing w:line="276" w:lineRule="auto"/>
              <w:ind w:left="215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  <w:highlight w:val="yellow"/>
              </w:rPr>
            </w:pPr>
            <w:r w:rsidRPr="00A52205">
              <w:rPr>
                <w:rFonts w:ascii="Arial" w:hAnsi="Arial" w:cs="Arial"/>
                <w:b/>
                <w:sz w:val="21"/>
                <w:szCs w:val="21"/>
              </w:rPr>
              <w:t>Fin décembre 2021</w:t>
            </w:r>
          </w:p>
        </w:tc>
      </w:tr>
      <w:tr w:rsidR="00895A0B" w:rsidRPr="00E80C85" w:rsidTr="00895A0B">
        <w:trPr>
          <w:trHeight w:val="58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0B" w:rsidRPr="00E80C85" w:rsidRDefault="00895A0B" w:rsidP="00A52205">
            <w:pPr>
              <w:pStyle w:val="Paragraphedeliste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80C85">
              <w:rPr>
                <w:rFonts w:ascii="Arial" w:hAnsi="Arial" w:cs="Arial"/>
                <w:sz w:val="21"/>
                <w:szCs w:val="21"/>
              </w:rPr>
              <w:t xml:space="preserve">Date prévisionnelle de mise en </w:t>
            </w:r>
            <w:r w:rsidR="00A52205">
              <w:rPr>
                <w:rFonts w:ascii="Arial" w:hAnsi="Arial" w:cs="Arial"/>
                <w:sz w:val="21"/>
                <w:szCs w:val="21"/>
              </w:rPr>
              <w:t>œuvre des aménagements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A0B" w:rsidRPr="00E80C85" w:rsidRDefault="00A52205" w:rsidP="00FD3D3F">
            <w:pPr>
              <w:spacing w:line="276" w:lineRule="auto"/>
              <w:ind w:left="215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A52205">
              <w:rPr>
                <w:rFonts w:ascii="Arial" w:hAnsi="Arial" w:cs="Arial"/>
                <w:sz w:val="21"/>
                <w:szCs w:val="21"/>
                <w:vertAlign w:val="superscript"/>
              </w:rPr>
              <w:t>er</w:t>
            </w:r>
            <w:r>
              <w:rPr>
                <w:rFonts w:ascii="Arial" w:hAnsi="Arial" w:cs="Arial"/>
                <w:sz w:val="21"/>
                <w:szCs w:val="21"/>
              </w:rPr>
              <w:t xml:space="preserve"> trimestre 2021</w:t>
            </w:r>
          </w:p>
        </w:tc>
      </w:tr>
    </w:tbl>
    <w:p w:rsidR="00E64EB0" w:rsidRPr="00E80C85" w:rsidRDefault="00E64EB0" w:rsidP="00FD3D3F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BA47DE" w:rsidRPr="00E80C85" w:rsidRDefault="00895A0B" w:rsidP="00FD3D3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E80C85">
        <w:rPr>
          <w:rFonts w:ascii="Arial" w:hAnsi="Arial" w:cs="Arial"/>
          <w:sz w:val="20"/>
          <w:szCs w:val="20"/>
          <w:lang w:val="fr-FR"/>
        </w:rPr>
        <w:t xml:space="preserve">Pour toute demande d’informations complémentaires, vous pouvez </w:t>
      </w:r>
      <w:r w:rsidR="00003074" w:rsidRPr="00E80C85">
        <w:rPr>
          <w:rFonts w:ascii="Arial" w:hAnsi="Arial" w:cs="Arial"/>
          <w:sz w:val="20"/>
          <w:szCs w:val="20"/>
          <w:lang w:val="fr-FR"/>
        </w:rPr>
        <w:t>contacter :</w:t>
      </w:r>
    </w:p>
    <w:p w:rsidR="00E64EB0" w:rsidRPr="00E80C85" w:rsidRDefault="00D75A0F" w:rsidP="00A52205">
      <w:pPr>
        <w:pStyle w:val="Sansinterligne"/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fr-FR"/>
        </w:rPr>
      </w:pPr>
      <w:hyperlink r:id="rId10" w:history="1">
        <w:r w:rsidR="00A52205" w:rsidRPr="00D21A31">
          <w:rPr>
            <w:rStyle w:val="Lienhypertexte"/>
            <w:rFonts w:ascii="Arial" w:hAnsi="Arial" w:cs="Arial"/>
            <w:b/>
            <w:sz w:val="21"/>
            <w:szCs w:val="21"/>
            <w:lang w:val="fr-FR"/>
          </w:rPr>
          <w:t>ars-grandest-offre-sanitaire@ars.sante.fr</w:t>
        </w:r>
      </w:hyperlink>
    </w:p>
    <w:sectPr w:rsidR="00E64EB0" w:rsidRPr="00E80C85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0F" w:rsidRDefault="00D75A0F" w:rsidP="00BA47DE">
      <w:pPr>
        <w:spacing w:after="0" w:line="240" w:lineRule="auto"/>
      </w:pPr>
      <w:r>
        <w:separator/>
      </w:r>
    </w:p>
  </w:endnote>
  <w:endnote w:type="continuationSeparator" w:id="0">
    <w:p w:rsidR="00D75A0F" w:rsidRDefault="00D75A0F" w:rsidP="00BA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0F" w:rsidRDefault="00D75A0F" w:rsidP="00BA47DE">
      <w:pPr>
        <w:spacing w:after="0" w:line="240" w:lineRule="auto"/>
      </w:pPr>
      <w:r>
        <w:separator/>
      </w:r>
    </w:p>
  </w:footnote>
  <w:footnote w:type="continuationSeparator" w:id="0">
    <w:p w:rsidR="00D75A0F" w:rsidRDefault="00D75A0F" w:rsidP="00BA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DE" w:rsidRDefault="00BA47DE" w:rsidP="00BA47DE">
    <w:pPr>
      <w:ind w:hanging="567"/>
      <w:rPr>
        <w:noProof/>
      </w:rPr>
    </w:pPr>
    <w:r>
      <w:rPr>
        <w:noProof/>
        <w:lang w:val="fr-FR" w:eastAsia="fr-FR"/>
      </w:rPr>
      <w:drawing>
        <wp:inline distT="0" distB="0" distL="0" distR="0">
          <wp:extent cx="1019810" cy="879475"/>
          <wp:effectExtent l="0" t="0" r="8890" b="0"/>
          <wp:docPr id="1" name="Image 1" descr="Republique_Francaise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epublique_Francaise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5053330</wp:posOffset>
          </wp:positionH>
          <wp:positionV relativeFrom="paragraph">
            <wp:posOffset>168910</wp:posOffset>
          </wp:positionV>
          <wp:extent cx="1169670" cy="666750"/>
          <wp:effectExtent l="0" t="0" r="0" b="0"/>
          <wp:wrapNone/>
          <wp:docPr id="2" name="Image 2" descr="ARS_GrandEst_RVB_T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ARS_GrandEst_RVB_T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47DE" w:rsidRDefault="00BA47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1.1pt;height:11.1pt" o:bullet="t">
        <v:imagedata r:id="rId1" o:title="msoA93"/>
      </v:shape>
    </w:pict>
  </w:numPicBullet>
  <w:abstractNum w:abstractNumId="0">
    <w:nsid w:val="0000002B"/>
    <w:multiLevelType w:val="multilevel"/>
    <w:tmpl w:val="0000002B"/>
    <w:name w:val="WWNum5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Helvetic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29682769"/>
    <w:multiLevelType w:val="hybridMultilevel"/>
    <w:tmpl w:val="1A60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83563"/>
    <w:multiLevelType w:val="hybridMultilevel"/>
    <w:tmpl w:val="7F0A2440"/>
    <w:lvl w:ilvl="0" w:tplc="B986F584">
      <w:start w:val="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E5839"/>
    <w:multiLevelType w:val="hybridMultilevel"/>
    <w:tmpl w:val="00565B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B4DDA"/>
    <w:multiLevelType w:val="hybridMultilevel"/>
    <w:tmpl w:val="48984DAE"/>
    <w:lvl w:ilvl="0" w:tplc="9BCC7E3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02396"/>
    <w:multiLevelType w:val="multilevel"/>
    <w:tmpl w:val="F970F31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Helvetica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95" w:hanging="360"/>
      </w:pPr>
      <w:rPr>
        <w:rFonts w:ascii="Calibri" w:eastAsiaTheme="minorHAnsi" w:hAnsi="Calibri" w:cs="Calibri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3F705C37"/>
    <w:multiLevelType w:val="hybridMultilevel"/>
    <w:tmpl w:val="2670FFCE"/>
    <w:lvl w:ilvl="0" w:tplc="A16EA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71A2C"/>
    <w:multiLevelType w:val="hybridMultilevel"/>
    <w:tmpl w:val="8A72E176"/>
    <w:lvl w:ilvl="0" w:tplc="5F70C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705F11"/>
    <w:multiLevelType w:val="hybridMultilevel"/>
    <w:tmpl w:val="9A262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C0D16"/>
    <w:multiLevelType w:val="hybridMultilevel"/>
    <w:tmpl w:val="B6462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C48C8"/>
    <w:multiLevelType w:val="hybridMultilevel"/>
    <w:tmpl w:val="76E2614E"/>
    <w:lvl w:ilvl="0" w:tplc="9B58EE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532D"/>
    <w:multiLevelType w:val="hybridMultilevel"/>
    <w:tmpl w:val="FCB2D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B0"/>
    <w:rsid w:val="00003074"/>
    <w:rsid w:val="00012E56"/>
    <w:rsid w:val="000F3FDE"/>
    <w:rsid w:val="001D418D"/>
    <w:rsid w:val="001D79D2"/>
    <w:rsid w:val="001F3D94"/>
    <w:rsid w:val="00271252"/>
    <w:rsid w:val="0027281D"/>
    <w:rsid w:val="00287F48"/>
    <w:rsid w:val="002B35A4"/>
    <w:rsid w:val="002C1CB4"/>
    <w:rsid w:val="002C2446"/>
    <w:rsid w:val="002E765E"/>
    <w:rsid w:val="002F3561"/>
    <w:rsid w:val="00357F89"/>
    <w:rsid w:val="00464A65"/>
    <w:rsid w:val="00492FE9"/>
    <w:rsid w:val="006449B4"/>
    <w:rsid w:val="006962CF"/>
    <w:rsid w:val="00732291"/>
    <w:rsid w:val="00767978"/>
    <w:rsid w:val="007D191E"/>
    <w:rsid w:val="00821843"/>
    <w:rsid w:val="00863C8C"/>
    <w:rsid w:val="00866EE0"/>
    <w:rsid w:val="00885922"/>
    <w:rsid w:val="00895A0B"/>
    <w:rsid w:val="009719A2"/>
    <w:rsid w:val="009B2BEB"/>
    <w:rsid w:val="00A52205"/>
    <w:rsid w:val="00B16CA4"/>
    <w:rsid w:val="00BA47DE"/>
    <w:rsid w:val="00C20105"/>
    <w:rsid w:val="00C712C4"/>
    <w:rsid w:val="00C94A50"/>
    <w:rsid w:val="00CA5926"/>
    <w:rsid w:val="00D70144"/>
    <w:rsid w:val="00D724B2"/>
    <w:rsid w:val="00D75A0F"/>
    <w:rsid w:val="00DF75CD"/>
    <w:rsid w:val="00E343E9"/>
    <w:rsid w:val="00E64EB0"/>
    <w:rsid w:val="00E80C85"/>
    <w:rsid w:val="00EE3A29"/>
    <w:rsid w:val="00FA595C"/>
    <w:rsid w:val="00FD3D3F"/>
    <w:rsid w:val="00FD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B0"/>
  </w:style>
  <w:style w:type="paragraph" w:styleId="Titre1">
    <w:name w:val="heading 1"/>
    <w:basedOn w:val="Normal"/>
    <w:next w:val="Normal"/>
    <w:link w:val="Titre1Car"/>
    <w:uiPriority w:val="9"/>
    <w:qFormat/>
    <w:rsid w:val="00E80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4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64E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E64EB0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paragraph" w:styleId="Paragraphedeliste">
    <w:name w:val="List Paragraph"/>
    <w:basedOn w:val="Normal"/>
    <w:uiPriority w:val="34"/>
    <w:qFormat/>
    <w:rsid w:val="00E64EB0"/>
    <w:pPr>
      <w:ind w:left="720"/>
      <w:contextualSpacing/>
    </w:pPr>
    <w:rPr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64EB0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customStyle="1" w:styleId="Paragraphedeliste1">
    <w:name w:val="Paragraphe de liste1"/>
    <w:basedOn w:val="Normal"/>
    <w:rsid w:val="00E64EB0"/>
    <w:pPr>
      <w:spacing w:after="160" w:line="259" w:lineRule="auto"/>
    </w:pPr>
    <w:rPr>
      <w:rFonts w:eastAsiaTheme="minorEastAsia"/>
      <w:lang w:val="fr-FR"/>
    </w:rPr>
  </w:style>
  <w:style w:type="character" w:styleId="Lienhypertexte">
    <w:name w:val="Hyperlink"/>
    <w:basedOn w:val="Policepardfaut"/>
    <w:uiPriority w:val="99"/>
    <w:unhideWhenUsed/>
    <w:rsid w:val="00895A0B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895A0B"/>
    <w:rPr>
      <w:rFonts w:eastAsiaTheme="minorEastAsia"/>
    </w:rPr>
  </w:style>
  <w:style w:type="paragraph" w:styleId="Sansinterligne">
    <w:name w:val="No Spacing"/>
    <w:link w:val="SansinterligneCar"/>
    <w:uiPriority w:val="1"/>
    <w:qFormat/>
    <w:rsid w:val="00895A0B"/>
    <w:pPr>
      <w:spacing w:after="0" w:line="240" w:lineRule="auto"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89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719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19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19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19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19A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9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7DE"/>
  </w:style>
  <w:style w:type="paragraph" w:styleId="Pieddepage">
    <w:name w:val="footer"/>
    <w:basedOn w:val="Normal"/>
    <w:link w:val="PieddepageCar"/>
    <w:uiPriority w:val="99"/>
    <w:unhideWhenUsed/>
    <w:rsid w:val="00BA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7DE"/>
  </w:style>
  <w:style w:type="paragraph" w:styleId="NormalWeb">
    <w:name w:val="Normal (Web)"/>
    <w:basedOn w:val="Normal"/>
    <w:uiPriority w:val="99"/>
    <w:semiHidden/>
    <w:unhideWhenUsed/>
    <w:rsid w:val="001D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80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B0"/>
  </w:style>
  <w:style w:type="paragraph" w:styleId="Titre1">
    <w:name w:val="heading 1"/>
    <w:basedOn w:val="Normal"/>
    <w:next w:val="Normal"/>
    <w:link w:val="Titre1Car"/>
    <w:uiPriority w:val="9"/>
    <w:qFormat/>
    <w:rsid w:val="00E80C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4E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64E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E64EB0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paragraph" w:styleId="Paragraphedeliste">
    <w:name w:val="List Paragraph"/>
    <w:basedOn w:val="Normal"/>
    <w:uiPriority w:val="34"/>
    <w:qFormat/>
    <w:rsid w:val="00E64EB0"/>
    <w:pPr>
      <w:ind w:left="720"/>
      <w:contextualSpacing/>
    </w:pPr>
    <w:rPr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64EB0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customStyle="1" w:styleId="Paragraphedeliste1">
    <w:name w:val="Paragraphe de liste1"/>
    <w:basedOn w:val="Normal"/>
    <w:rsid w:val="00E64EB0"/>
    <w:pPr>
      <w:spacing w:after="160" w:line="259" w:lineRule="auto"/>
    </w:pPr>
    <w:rPr>
      <w:rFonts w:eastAsiaTheme="minorEastAsia"/>
      <w:lang w:val="fr-FR"/>
    </w:rPr>
  </w:style>
  <w:style w:type="character" w:styleId="Lienhypertexte">
    <w:name w:val="Hyperlink"/>
    <w:basedOn w:val="Policepardfaut"/>
    <w:uiPriority w:val="99"/>
    <w:unhideWhenUsed/>
    <w:rsid w:val="00895A0B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895A0B"/>
    <w:rPr>
      <w:rFonts w:eastAsiaTheme="minorEastAsia"/>
    </w:rPr>
  </w:style>
  <w:style w:type="paragraph" w:styleId="Sansinterligne">
    <w:name w:val="No Spacing"/>
    <w:link w:val="SansinterligneCar"/>
    <w:uiPriority w:val="1"/>
    <w:qFormat/>
    <w:rsid w:val="00895A0B"/>
    <w:pPr>
      <w:spacing w:after="0" w:line="240" w:lineRule="auto"/>
    </w:pPr>
    <w:rPr>
      <w:rFonts w:eastAsiaTheme="minorEastAsia"/>
    </w:rPr>
  </w:style>
  <w:style w:type="table" w:styleId="Grilledutableau">
    <w:name w:val="Table Grid"/>
    <w:basedOn w:val="TableauNormal"/>
    <w:uiPriority w:val="59"/>
    <w:rsid w:val="0089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719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19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19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19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19A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9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7DE"/>
  </w:style>
  <w:style w:type="paragraph" w:styleId="Pieddepage">
    <w:name w:val="footer"/>
    <w:basedOn w:val="Normal"/>
    <w:link w:val="PieddepageCar"/>
    <w:uiPriority w:val="99"/>
    <w:unhideWhenUsed/>
    <w:rsid w:val="00BA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7DE"/>
  </w:style>
  <w:style w:type="paragraph" w:styleId="NormalWeb">
    <w:name w:val="Normal (Web)"/>
    <w:basedOn w:val="Normal"/>
    <w:uiPriority w:val="99"/>
    <w:semiHidden/>
    <w:unhideWhenUsed/>
    <w:rsid w:val="001D4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80C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s-grandest-offre-sanitaire@ars.sant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s-grandest-offre-sanitaire@ars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517C-790F-4955-808D-4A5944E0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1054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ARQUILLIERE, Charlotte</dc:creator>
  <cp:lastModifiedBy>FORTIN, Vincent</cp:lastModifiedBy>
  <cp:revision>4</cp:revision>
  <dcterms:created xsi:type="dcterms:W3CDTF">2021-10-15T13:55:00Z</dcterms:created>
  <dcterms:modified xsi:type="dcterms:W3CDTF">2021-10-20T14:25:00Z</dcterms:modified>
</cp:coreProperties>
</file>