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3F39C" w14:textId="07434C6F" w:rsidR="00EA6052" w:rsidRDefault="003379AE">
      <w:bookmarkStart w:id="0" w:name="_GoBack"/>
      <w:bookmarkEnd w:id="0"/>
      <w:r w:rsidRPr="005866E2">
        <w:rPr>
          <w:b/>
          <w:bCs/>
          <w:i/>
          <w:iCs/>
          <w:noProof/>
          <w:sz w:val="24"/>
          <w:szCs w:val="24"/>
          <w:lang w:val="fr-FR" w:eastAsia="fr-FR"/>
        </w:rPr>
        <mc:AlternateContent>
          <mc:Choice Requires="wps">
            <w:drawing>
              <wp:anchor distT="45720" distB="45720" distL="114300" distR="114300" simplePos="0" relativeHeight="251662336" behindDoc="0" locked="0" layoutInCell="1" allowOverlap="1" wp14:anchorId="7E558D50" wp14:editId="3C1C6E11">
                <wp:simplePos x="0" y="0"/>
                <wp:positionH relativeFrom="column">
                  <wp:posOffset>3905885</wp:posOffset>
                </wp:positionH>
                <wp:positionV relativeFrom="paragraph">
                  <wp:posOffset>796925</wp:posOffset>
                </wp:positionV>
                <wp:extent cx="2274570" cy="5273675"/>
                <wp:effectExtent l="0" t="0" r="11430"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5273675"/>
                        </a:xfrm>
                        <a:prstGeom prst="rect">
                          <a:avLst/>
                        </a:prstGeom>
                        <a:solidFill>
                          <a:srgbClr val="FFFFFF"/>
                        </a:solidFill>
                        <a:ln w="9525">
                          <a:solidFill>
                            <a:srgbClr val="000000"/>
                          </a:solidFill>
                          <a:miter lim="800000"/>
                          <a:headEnd/>
                          <a:tailEnd/>
                        </a:ln>
                      </wps:spPr>
                      <wps:txbx>
                        <w:txbxContent>
                          <w:p w14:paraId="7003F182" w14:textId="77777777" w:rsidR="005866E2" w:rsidRPr="0069243D" w:rsidRDefault="005866E2" w:rsidP="005866E2">
                            <w:pPr>
                              <w:rPr>
                                <w:rFonts w:cstheme="minorHAnsi"/>
                                <w:b/>
                                <w:bCs/>
                                <w:color w:val="2F5496" w:themeColor="accent1" w:themeShade="BF"/>
                              </w:rPr>
                            </w:pPr>
                            <w:r w:rsidRPr="0069243D">
                              <w:rPr>
                                <w:rFonts w:cstheme="minorHAnsi"/>
                                <w:b/>
                                <w:bCs/>
                                <w:color w:val="2F5496" w:themeColor="accent1" w:themeShade="BF"/>
                              </w:rPr>
                              <w:t>SATRAQ, une mise en commun transfrontalière des expertises et des ressources</w:t>
                            </w:r>
                          </w:p>
                          <w:p w14:paraId="6254EA02" w14:textId="77777777" w:rsidR="005866E2" w:rsidRPr="0069243D" w:rsidRDefault="005866E2" w:rsidP="005866E2">
                            <w:pPr>
                              <w:rPr>
                                <w:rFonts w:cstheme="minorHAnsi"/>
                                <w:i/>
                                <w:iCs/>
                                <w:color w:val="2F5496" w:themeColor="accent1" w:themeShade="BF"/>
                              </w:rPr>
                            </w:pPr>
                            <w:r w:rsidRPr="0069243D">
                              <w:rPr>
                                <w:rFonts w:cstheme="minorHAnsi"/>
                                <w:b/>
                                <w:bCs/>
                                <w:color w:val="2F5496" w:themeColor="accent1" w:themeShade="BF"/>
                              </w:rPr>
                              <w:t xml:space="preserve">SATRAQ </w:t>
                            </w:r>
                            <w:r w:rsidRPr="0069243D">
                              <w:rPr>
                                <w:rFonts w:cstheme="minorHAnsi"/>
                                <w:i/>
                                <w:iCs/>
                                <w:color w:val="2F5496" w:themeColor="accent1" w:themeShade="BF"/>
                              </w:rPr>
                              <w:t>« </w:t>
                            </w:r>
                            <w:r w:rsidRPr="009A750D">
                              <w:rPr>
                                <w:rFonts w:cstheme="minorHAnsi"/>
                                <w:b/>
                                <w:bCs/>
                                <w:i/>
                                <w:iCs/>
                                <w:color w:val="2F5496" w:themeColor="accent1" w:themeShade="BF"/>
                              </w:rPr>
                              <w:t>S</w:t>
                            </w:r>
                            <w:r w:rsidRPr="0069243D">
                              <w:rPr>
                                <w:rFonts w:cstheme="minorHAnsi"/>
                                <w:i/>
                                <w:iCs/>
                                <w:color w:val="2F5496" w:themeColor="accent1" w:themeShade="BF"/>
                              </w:rPr>
                              <w:t xml:space="preserve">ensibilisation et </w:t>
                            </w:r>
                            <w:r w:rsidRPr="009A750D">
                              <w:rPr>
                                <w:rFonts w:cstheme="minorHAnsi"/>
                                <w:b/>
                                <w:bCs/>
                                <w:i/>
                                <w:iCs/>
                                <w:color w:val="2F5496" w:themeColor="accent1" w:themeShade="BF"/>
                              </w:rPr>
                              <w:t>A</w:t>
                            </w:r>
                            <w:r w:rsidRPr="0069243D">
                              <w:rPr>
                                <w:rFonts w:cstheme="minorHAnsi"/>
                                <w:i/>
                                <w:iCs/>
                                <w:color w:val="2F5496" w:themeColor="accent1" w:themeShade="BF"/>
                              </w:rPr>
                              <w:t xml:space="preserve">ction </w:t>
                            </w:r>
                            <w:r w:rsidRPr="009A750D">
                              <w:rPr>
                                <w:rFonts w:cstheme="minorHAnsi"/>
                                <w:b/>
                                <w:bCs/>
                                <w:i/>
                                <w:iCs/>
                                <w:color w:val="2F5496" w:themeColor="accent1" w:themeShade="BF"/>
                              </w:rPr>
                              <w:t>T</w:t>
                            </w:r>
                            <w:r w:rsidRPr="0069243D">
                              <w:rPr>
                                <w:rFonts w:cstheme="minorHAnsi"/>
                                <w:i/>
                                <w:iCs/>
                                <w:color w:val="2F5496" w:themeColor="accent1" w:themeShade="BF"/>
                              </w:rPr>
                              <w:t xml:space="preserve">ransfrontalière pour une </w:t>
                            </w:r>
                            <w:r w:rsidRPr="009A750D">
                              <w:rPr>
                                <w:rFonts w:cstheme="minorHAnsi"/>
                                <w:b/>
                                <w:bCs/>
                                <w:i/>
                                <w:iCs/>
                                <w:color w:val="2F5496" w:themeColor="accent1" w:themeShade="BF"/>
                              </w:rPr>
                              <w:t>R</w:t>
                            </w:r>
                            <w:r w:rsidRPr="0069243D">
                              <w:rPr>
                                <w:rFonts w:cstheme="minorHAnsi"/>
                                <w:i/>
                                <w:iCs/>
                                <w:color w:val="2F5496" w:themeColor="accent1" w:themeShade="BF"/>
                              </w:rPr>
                              <w:t>éduction de la consommation de l'</w:t>
                            </w:r>
                            <w:r w:rsidRPr="009A750D">
                              <w:rPr>
                                <w:rFonts w:cstheme="minorHAnsi"/>
                                <w:b/>
                                <w:bCs/>
                                <w:i/>
                                <w:iCs/>
                                <w:color w:val="2F5496" w:themeColor="accent1" w:themeShade="BF"/>
                              </w:rPr>
                              <w:t>A</w:t>
                            </w:r>
                            <w:r w:rsidRPr="0069243D">
                              <w:rPr>
                                <w:rFonts w:cstheme="minorHAnsi"/>
                                <w:i/>
                                <w:iCs/>
                                <w:color w:val="2F5496" w:themeColor="accent1" w:themeShade="BF"/>
                              </w:rPr>
                              <w:t xml:space="preserve">lcool au </w:t>
                            </w:r>
                            <w:r w:rsidRPr="009A750D">
                              <w:rPr>
                                <w:rFonts w:cstheme="minorHAnsi"/>
                                <w:b/>
                                <w:bCs/>
                                <w:i/>
                                <w:iCs/>
                                <w:color w:val="2F5496" w:themeColor="accent1" w:themeShade="BF"/>
                              </w:rPr>
                              <w:t>Q</w:t>
                            </w:r>
                            <w:r w:rsidRPr="0069243D">
                              <w:rPr>
                                <w:rFonts w:cstheme="minorHAnsi"/>
                                <w:i/>
                                <w:iCs/>
                                <w:color w:val="2F5496" w:themeColor="accent1" w:themeShade="BF"/>
                              </w:rPr>
                              <w:t xml:space="preserve">uotidien » </w:t>
                            </w:r>
                            <w:r w:rsidRPr="0069243D">
                              <w:rPr>
                                <w:rFonts w:cstheme="minorHAnsi"/>
                                <w:color w:val="2F5496" w:themeColor="accent1" w:themeShade="BF"/>
                              </w:rPr>
                              <w:t xml:space="preserve">est un projet transfrontalier franco-Belge, développé de 2020 à 2022 dans le cadre </w:t>
                            </w:r>
                            <w:r w:rsidRPr="0069243D">
                              <w:rPr>
                                <w:rFonts w:cstheme="minorHAnsi"/>
                                <w:b/>
                                <w:bCs/>
                                <w:color w:val="2F5496" w:themeColor="accent1" w:themeShade="BF"/>
                              </w:rPr>
                              <w:t>d’INTERREG V</w:t>
                            </w:r>
                            <w:r w:rsidRPr="0069243D">
                              <w:rPr>
                                <w:rFonts w:cstheme="minorHAnsi"/>
                                <w:color w:val="2F5496" w:themeColor="accent1" w:themeShade="BF"/>
                              </w:rPr>
                              <w:t>.</w:t>
                            </w:r>
                            <w:r w:rsidRPr="0069243D">
                              <w:rPr>
                                <w:rFonts w:cstheme="minorHAnsi"/>
                                <w:i/>
                                <w:iCs/>
                                <w:color w:val="2F5496" w:themeColor="accent1" w:themeShade="BF"/>
                              </w:rPr>
                              <w:t xml:space="preserve"> </w:t>
                            </w:r>
                          </w:p>
                          <w:p w14:paraId="6EA22A36" w14:textId="71E15BC6" w:rsidR="005866E2" w:rsidRDefault="005866E2" w:rsidP="005866E2">
                            <w:pPr>
                              <w:rPr>
                                <w:rFonts w:cstheme="minorHAnsi"/>
                                <w:color w:val="2F5496" w:themeColor="accent1" w:themeShade="BF"/>
                              </w:rPr>
                            </w:pPr>
                            <w:r w:rsidRPr="0069243D">
                              <w:rPr>
                                <w:rFonts w:cstheme="minorHAnsi"/>
                                <w:color w:val="2F5496" w:themeColor="accent1" w:themeShade="BF"/>
                              </w:rPr>
                              <w:t xml:space="preserve">Il est porté pour </w:t>
                            </w:r>
                            <w:r w:rsidRPr="0069243D">
                              <w:rPr>
                                <w:rFonts w:cstheme="minorHAnsi"/>
                                <w:b/>
                                <w:bCs/>
                                <w:color w:val="2F5496" w:themeColor="accent1" w:themeShade="BF"/>
                              </w:rPr>
                              <w:t>la Belgique</w:t>
                            </w:r>
                            <w:r w:rsidRPr="0069243D">
                              <w:rPr>
                                <w:rFonts w:cstheme="minorHAnsi"/>
                                <w:color w:val="2F5496" w:themeColor="accent1" w:themeShade="BF"/>
                              </w:rPr>
                              <w:t xml:space="preserve">, par le Centre d’Éducation du Patient asbl et l’Alliance Nationale des Mutualités chrétiennes et </w:t>
                            </w:r>
                            <w:r w:rsidRPr="0069243D">
                              <w:rPr>
                                <w:rFonts w:cstheme="minorHAnsi"/>
                                <w:b/>
                                <w:bCs/>
                                <w:color w:val="2F5496" w:themeColor="accent1" w:themeShade="BF"/>
                              </w:rPr>
                              <w:t>pour la France</w:t>
                            </w:r>
                            <w:r w:rsidRPr="0069243D">
                              <w:rPr>
                                <w:rFonts w:cstheme="minorHAnsi"/>
                                <w:color w:val="2F5496" w:themeColor="accent1" w:themeShade="BF"/>
                              </w:rPr>
                              <w:t>, par la Caisse Primaire d’Assurance Maladie des Ardennes et par ADDICA, dispositif au sein de l’association d’appui aux professionnels de santé. Sont partenaires associés du projet, l’AVIQ (B), l’Hôpital psychiatrique de Bertrix (B), le CSAPA (F) et l’ARS Grand-Est (F).</w:t>
                            </w:r>
                          </w:p>
                          <w:p w14:paraId="5CC286AE" w14:textId="5941B8CC" w:rsidR="00A84258" w:rsidRPr="00A84258" w:rsidRDefault="00A84258" w:rsidP="00A84258">
                            <w:pPr>
                              <w:spacing w:after="0" w:line="240" w:lineRule="auto"/>
                              <w:jc w:val="center"/>
                              <w:rPr>
                                <w:rFonts w:cstheme="minorHAnsi"/>
                                <w:color w:val="2F5496" w:themeColor="accent1" w:themeShade="BF"/>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629"/>
                            </w:tblGrid>
                            <w:tr w:rsidR="00A84258" w14:paraId="7E46ADF6" w14:textId="77777777" w:rsidTr="00A84258">
                              <w:tc>
                                <w:tcPr>
                                  <w:tcW w:w="1717" w:type="dxa"/>
                                </w:tcPr>
                                <w:p w14:paraId="6F9E8721" w14:textId="2FA9C0B5" w:rsidR="00A84258" w:rsidRDefault="00A84258" w:rsidP="00A84258">
                                  <w:pPr>
                                    <w:jc w:val="center"/>
                                    <w:rPr>
                                      <w:rFonts w:cstheme="minorHAnsi"/>
                                      <w:color w:val="2F5496" w:themeColor="accent1" w:themeShade="BF"/>
                                      <w:sz w:val="16"/>
                                      <w:szCs w:val="16"/>
                                    </w:rPr>
                                  </w:pPr>
                                  <w:r w:rsidRPr="00A84258">
                                    <w:rPr>
                                      <w:rFonts w:cstheme="minorHAnsi"/>
                                      <w:noProof/>
                                      <w:color w:val="2F5496" w:themeColor="accent1" w:themeShade="BF"/>
                                      <w:sz w:val="16"/>
                                      <w:szCs w:val="16"/>
                                      <w:lang w:val="fr-FR" w:eastAsia="fr-FR"/>
                                    </w:rPr>
                                    <w:drawing>
                                      <wp:inline distT="0" distB="0" distL="0" distR="0" wp14:anchorId="4DCD9AAF" wp14:editId="63B3FD78">
                                        <wp:extent cx="1023932" cy="456778"/>
                                        <wp:effectExtent l="0" t="0" r="508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ssurance malad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874" cy="511623"/>
                                                </a:xfrm>
                                                <a:prstGeom prst="rect">
                                                  <a:avLst/>
                                                </a:prstGeom>
                                              </pic:spPr>
                                            </pic:pic>
                                          </a:graphicData>
                                        </a:graphic>
                                      </wp:inline>
                                    </w:drawing>
                                  </w:r>
                                  <w:r>
                                    <w:rPr>
                                      <w:rFonts w:cstheme="minorHAnsi"/>
                                      <w:color w:val="2F5496" w:themeColor="accent1" w:themeShade="BF"/>
                                      <w:sz w:val="16"/>
                                      <w:szCs w:val="16"/>
                                    </w:rPr>
                                    <w:br/>
                                  </w:r>
                                </w:p>
                              </w:tc>
                              <w:tc>
                                <w:tcPr>
                                  <w:tcW w:w="1836" w:type="dxa"/>
                                </w:tcPr>
                                <w:p w14:paraId="2FB2ED4F" w14:textId="6054A547" w:rsidR="00A84258" w:rsidRDefault="00A84258" w:rsidP="00A84258">
                                  <w:pPr>
                                    <w:jc w:val="center"/>
                                    <w:rPr>
                                      <w:rFonts w:cstheme="minorHAnsi"/>
                                      <w:color w:val="2F5496" w:themeColor="accent1" w:themeShade="BF"/>
                                      <w:sz w:val="16"/>
                                      <w:szCs w:val="16"/>
                                    </w:rPr>
                                  </w:pPr>
                                  <w:r>
                                    <w:rPr>
                                      <w:rFonts w:cstheme="minorHAnsi"/>
                                      <w:noProof/>
                                      <w:color w:val="2F5496" w:themeColor="accent1" w:themeShade="BF"/>
                                      <w:lang w:val="fr-FR" w:eastAsia="fr-FR"/>
                                    </w:rPr>
                                    <w:drawing>
                                      <wp:inline distT="0" distB="0" distL="0" distR="0" wp14:anchorId="2A557F91" wp14:editId="6DA7FAFB">
                                        <wp:extent cx="545094" cy="546265"/>
                                        <wp:effectExtent l="0" t="0" r="762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_MC_Logo_MC_button_sans_slogan_CMYK_FR.png"/>
                                                <pic:cNvPicPr/>
                                              </pic:nvPicPr>
                                              <pic:blipFill>
                                                <a:blip r:embed="rId9">
                                                  <a:extLst>
                                                    <a:ext uri="{28A0092B-C50C-407E-A947-70E740481C1C}">
                                                      <a14:useLocalDpi xmlns:a14="http://schemas.microsoft.com/office/drawing/2010/main" val="0"/>
                                                    </a:ext>
                                                  </a:extLst>
                                                </a:blip>
                                                <a:stretch>
                                                  <a:fillRect/>
                                                </a:stretch>
                                              </pic:blipFill>
                                              <pic:spPr>
                                                <a:xfrm>
                                                  <a:off x="0" y="0"/>
                                                  <a:ext cx="818937" cy="820696"/>
                                                </a:xfrm>
                                                <a:prstGeom prst="rect">
                                                  <a:avLst/>
                                                </a:prstGeom>
                                              </pic:spPr>
                                            </pic:pic>
                                          </a:graphicData>
                                        </a:graphic>
                                      </wp:inline>
                                    </w:drawing>
                                  </w:r>
                                </w:p>
                              </w:tc>
                            </w:tr>
                            <w:tr w:rsidR="00A84258" w14:paraId="7213707E" w14:textId="77777777" w:rsidTr="00A84258">
                              <w:tc>
                                <w:tcPr>
                                  <w:tcW w:w="1717" w:type="dxa"/>
                                </w:tcPr>
                                <w:p w14:paraId="788CB465" w14:textId="1C07E997" w:rsidR="00A84258" w:rsidRDefault="00A84258" w:rsidP="00A84258">
                                  <w:pPr>
                                    <w:jc w:val="center"/>
                                    <w:rPr>
                                      <w:rFonts w:cstheme="minorHAnsi"/>
                                      <w:color w:val="2F5496" w:themeColor="accent1" w:themeShade="BF"/>
                                      <w:sz w:val="16"/>
                                      <w:szCs w:val="16"/>
                                    </w:rPr>
                                  </w:pPr>
                                  <w:r w:rsidRPr="00A84258">
                                    <w:rPr>
                                      <w:rFonts w:cstheme="minorHAnsi"/>
                                      <w:noProof/>
                                      <w:color w:val="2F5496" w:themeColor="accent1" w:themeShade="BF"/>
                                      <w:sz w:val="16"/>
                                      <w:szCs w:val="16"/>
                                      <w:lang w:val="fr-FR" w:eastAsia="fr-FR"/>
                                    </w:rPr>
                                    <w:drawing>
                                      <wp:inline distT="0" distB="0" distL="0" distR="0" wp14:anchorId="76990D56" wp14:editId="21DF55F3">
                                        <wp:extent cx="1045029" cy="399129"/>
                                        <wp:effectExtent l="0" t="0" r="317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Addica.jpg"/>
                                                <pic:cNvPicPr/>
                                              </pic:nvPicPr>
                                              <pic:blipFill>
                                                <a:blip r:embed="rId10">
                                                  <a:extLst>
                                                    <a:ext uri="{28A0092B-C50C-407E-A947-70E740481C1C}">
                                                      <a14:useLocalDpi xmlns:a14="http://schemas.microsoft.com/office/drawing/2010/main" val="0"/>
                                                    </a:ext>
                                                  </a:extLst>
                                                </a:blip>
                                                <a:stretch>
                                                  <a:fillRect/>
                                                </a:stretch>
                                              </pic:blipFill>
                                              <pic:spPr>
                                                <a:xfrm>
                                                  <a:off x="0" y="0"/>
                                                  <a:ext cx="1110986" cy="424320"/>
                                                </a:xfrm>
                                                <a:prstGeom prst="rect">
                                                  <a:avLst/>
                                                </a:prstGeom>
                                              </pic:spPr>
                                            </pic:pic>
                                          </a:graphicData>
                                        </a:graphic>
                                      </wp:inline>
                                    </w:drawing>
                                  </w:r>
                                </w:p>
                              </w:tc>
                              <w:tc>
                                <w:tcPr>
                                  <w:tcW w:w="1836" w:type="dxa"/>
                                </w:tcPr>
                                <w:p w14:paraId="48F1749C" w14:textId="2B09D20C" w:rsidR="00A84258" w:rsidRDefault="00A84258" w:rsidP="00A84258">
                                  <w:pPr>
                                    <w:jc w:val="center"/>
                                    <w:rPr>
                                      <w:rFonts w:cstheme="minorHAnsi"/>
                                      <w:color w:val="2F5496" w:themeColor="accent1" w:themeShade="BF"/>
                                      <w:sz w:val="16"/>
                                      <w:szCs w:val="16"/>
                                    </w:rPr>
                                  </w:pPr>
                                  <w:r w:rsidRPr="00A84258">
                                    <w:rPr>
                                      <w:noProof/>
                                      <w:sz w:val="16"/>
                                      <w:szCs w:val="16"/>
                                      <w:lang w:val="fr-FR" w:eastAsia="fr-FR"/>
                                    </w:rPr>
                                    <w:drawing>
                                      <wp:inline distT="0" distB="0" distL="0" distR="0" wp14:anchorId="32CBCE2F" wp14:editId="33A72E58">
                                        <wp:extent cx="467640" cy="467640"/>
                                        <wp:effectExtent l="0" t="0" r="8890" b="8890"/>
                                        <wp:docPr id="14" name="Image 14" descr="https://www.educationdupatient.be/images/Logos/CEP-web.gi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mage 1" descr="https://www.educationdupatient.be/images/Logos/CEP-web.gif">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84" cy="752484"/>
                                                </a:xfrm>
                                                <a:prstGeom prst="rect">
                                                  <a:avLst/>
                                                </a:prstGeom>
                                                <a:noFill/>
                                                <a:ln>
                                                  <a:noFill/>
                                                </a:ln>
                                              </pic:spPr>
                                            </pic:pic>
                                          </a:graphicData>
                                        </a:graphic>
                                      </wp:inline>
                                    </w:drawing>
                                  </w:r>
                                </w:p>
                              </w:tc>
                            </w:tr>
                          </w:tbl>
                          <w:p w14:paraId="72B69213" w14:textId="4A02453E" w:rsidR="00A84258" w:rsidRPr="00A84258" w:rsidRDefault="00A84258" w:rsidP="00A84258">
                            <w:pPr>
                              <w:spacing w:after="0" w:line="240" w:lineRule="auto"/>
                              <w:jc w:val="center"/>
                              <w:rPr>
                                <w:rFonts w:cstheme="minorHAnsi"/>
                                <w:color w:val="2F5496" w:themeColor="accent1" w:themeShade="BF"/>
                                <w:sz w:val="16"/>
                                <w:szCs w:val="16"/>
                              </w:rPr>
                            </w:pPr>
                          </w:p>
                          <w:p w14:paraId="3E99FCD5" w14:textId="4F58DABC" w:rsidR="00A84258" w:rsidRPr="00A84258" w:rsidRDefault="00B314FF"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r w:rsidR="00427804" w:rsidRPr="00A84258">
                              <w:rPr>
                                <w:rFonts w:cstheme="minorHAnsi"/>
                                <w:color w:val="2F5496" w:themeColor="accent1" w:themeShade="BF"/>
                                <w:sz w:val="16"/>
                                <w:szCs w:val="16"/>
                              </w:rPr>
                              <w:t xml:space="preserve"> </w:t>
                            </w:r>
                          </w:p>
                          <w:p w14:paraId="59CBAD27" w14:textId="029FC27D" w:rsidR="00A84258" w:rsidRPr="00A84258" w:rsidRDefault="00A84258"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p>
                          <w:p w14:paraId="6D8AB3F0" w14:textId="6ECF8D37" w:rsidR="00DA546D" w:rsidRPr="00A84258" w:rsidRDefault="00A84258"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p>
                          <w:p w14:paraId="47972EE6" w14:textId="77777777" w:rsidR="00610F75" w:rsidRDefault="00610F75" w:rsidP="005866E2">
                            <w:pPr>
                              <w:rPr>
                                <w:rFonts w:cstheme="minorHAnsi"/>
                                <w:color w:val="2F5496" w:themeColor="accent1" w:themeShade="BF"/>
                              </w:rPr>
                            </w:pPr>
                          </w:p>
                          <w:p w14:paraId="504D3881" w14:textId="4BFB6DC7" w:rsidR="00DA546D" w:rsidRPr="0069243D" w:rsidRDefault="00DA546D" w:rsidP="005866E2">
                            <w:pPr>
                              <w:rPr>
                                <w:rFonts w:cstheme="minorHAnsi"/>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7.55pt;margin-top:62.75pt;width:179.1pt;height:41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">
                <v:textbox>
                  <w:txbxContent>
                    <w:p w14:paraId="7003F182" w14:textId="77777777" w:rsidR="005866E2" w:rsidRPr="0069243D" w:rsidRDefault="005866E2" w:rsidP="005866E2">
                      <w:pPr>
                        <w:rPr>
                          <w:rFonts w:cstheme="minorHAnsi"/>
                          <w:b/>
                          <w:bCs/>
                          <w:color w:val="2F5496" w:themeColor="accent1" w:themeShade="BF"/>
                        </w:rPr>
                      </w:pPr>
                      <w:r w:rsidRPr="0069243D">
                        <w:rPr>
                          <w:rFonts w:cstheme="minorHAnsi"/>
                          <w:b/>
                          <w:bCs/>
                          <w:color w:val="2F5496" w:themeColor="accent1" w:themeShade="BF"/>
                        </w:rPr>
                        <w:t>SATRAQ, une mise en commun transfrontalière des expertises et des ressources</w:t>
                      </w:r>
                    </w:p>
                    <w:p w14:paraId="6254EA02" w14:textId="77777777" w:rsidR="005866E2" w:rsidRPr="0069243D" w:rsidRDefault="005866E2" w:rsidP="005866E2">
                      <w:pPr>
                        <w:rPr>
                          <w:rFonts w:cstheme="minorHAnsi"/>
                          <w:i/>
                          <w:iCs/>
                          <w:color w:val="2F5496" w:themeColor="accent1" w:themeShade="BF"/>
                        </w:rPr>
                      </w:pPr>
                      <w:r w:rsidRPr="0069243D">
                        <w:rPr>
                          <w:rFonts w:cstheme="minorHAnsi"/>
                          <w:b/>
                          <w:bCs/>
                          <w:color w:val="2F5496" w:themeColor="accent1" w:themeShade="BF"/>
                        </w:rPr>
                        <w:t xml:space="preserve">SATRAQ </w:t>
                      </w:r>
                      <w:r w:rsidRPr="0069243D">
                        <w:rPr>
                          <w:rFonts w:cstheme="minorHAnsi"/>
                          <w:i/>
                          <w:iCs/>
                          <w:color w:val="2F5496" w:themeColor="accent1" w:themeShade="BF"/>
                        </w:rPr>
                        <w:t>« </w:t>
                      </w:r>
                      <w:r w:rsidRPr="009A750D">
                        <w:rPr>
                          <w:rFonts w:cstheme="minorHAnsi"/>
                          <w:b/>
                          <w:bCs/>
                          <w:i/>
                          <w:iCs/>
                          <w:color w:val="2F5496" w:themeColor="accent1" w:themeShade="BF"/>
                        </w:rPr>
                        <w:t>S</w:t>
                      </w:r>
                      <w:r w:rsidRPr="0069243D">
                        <w:rPr>
                          <w:rFonts w:cstheme="minorHAnsi"/>
                          <w:i/>
                          <w:iCs/>
                          <w:color w:val="2F5496" w:themeColor="accent1" w:themeShade="BF"/>
                        </w:rPr>
                        <w:t xml:space="preserve">ensibilisation et </w:t>
                      </w:r>
                      <w:r w:rsidRPr="009A750D">
                        <w:rPr>
                          <w:rFonts w:cstheme="minorHAnsi"/>
                          <w:b/>
                          <w:bCs/>
                          <w:i/>
                          <w:iCs/>
                          <w:color w:val="2F5496" w:themeColor="accent1" w:themeShade="BF"/>
                        </w:rPr>
                        <w:t>A</w:t>
                      </w:r>
                      <w:r w:rsidRPr="0069243D">
                        <w:rPr>
                          <w:rFonts w:cstheme="minorHAnsi"/>
                          <w:i/>
                          <w:iCs/>
                          <w:color w:val="2F5496" w:themeColor="accent1" w:themeShade="BF"/>
                        </w:rPr>
                        <w:t xml:space="preserve">ction </w:t>
                      </w:r>
                      <w:r w:rsidRPr="009A750D">
                        <w:rPr>
                          <w:rFonts w:cstheme="minorHAnsi"/>
                          <w:b/>
                          <w:bCs/>
                          <w:i/>
                          <w:iCs/>
                          <w:color w:val="2F5496" w:themeColor="accent1" w:themeShade="BF"/>
                        </w:rPr>
                        <w:t>T</w:t>
                      </w:r>
                      <w:r w:rsidRPr="0069243D">
                        <w:rPr>
                          <w:rFonts w:cstheme="minorHAnsi"/>
                          <w:i/>
                          <w:iCs/>
                          <w:color w:val="2F5496" w:themeColor="accent1" w:themeShade="BF"/>
                        </w:rPr>
                        <w:t xml:space="preserve">ransfrontalière pour une </w:t>
                      </w:r>
                      <w:r w:rsidRPr="009A750D">
                        <w:rPr>
                          <w:rFonts w:cstheme="minorHAnsi"/>
                          <w:b/>
                          <w:bCs/>
                          <w:i/>
                          <w:iCs/>
                          <w:color w:val="2F5496" w:themeColor="accent1" w:themeShade="BF"/>
                        </w:rPr>
                        <w:t>R</w:t>
                      </w:r>
                      <w:r w:rsidRPr="0069243D">
                        <w:rPr>
                          <w:rFonts w:cstheme="minorHAnsi"/>
                          <w:i/>
                          <w:iCs/>
                          <w:color w:val="2F5496" w:themeColor="accent1" w:themeShade="BF"/>
                        </w:rPr>
                        <w:t>éduction de la consommation de l'</w:t>
                      </w:r>
                      <w:r w:rsidRPr="009A750D">
                        <w:rPr>
                          <w:rFonts w:cstheme="minorHAnsi"/>
                          <w:b/>
                          <w:bCs/>
                          <w:i/>
                          <w:iCs/>
                          <w:color w:val="2F5496" w:themeColor="accent1" w:themeShade="BF"/>
                        </w:rPr>
                        <w:t>A</w:t>
                      </w:r>
                      <w:r w:rsidRPr="0069243D">
                        <w:rPr>
                          <w:rFonts w:cstheme="minorHAnsi"/>
                          <w:i/>
                          <w:iCs/>
                          <w:color w:val="2F5496" w:themeColor="accent1" w:themeShade="BF"/>
                        </w:rPr>
                        <w:t xml:space="preserve">lcool au </w:t>
                      </w:r>
                      <w:r w:rsidRPr="009A750D">
                        <w:rPr>
                          <w:rFonts w:cstheme="minorHAnsi"/>
                          <w:b/>
                          <w:bCs/>
                          <w:i/>
                          <w:iCs/>
                          <w:color w:val="2F5496" w:themeColor="accent1" w:themeShade="BF"/>
                        </w:rPr>
                        <w:t>Q</w:t>
                      </w:r>
                      <w:r w:rsidRPr="0069243D">
                        <w:rPr>
                          <w:rFonts w:cstheme="minorHAnsi"/>
                          <w:i/>
                          <w:iCs/>
                          <w:color w:val="2F5496" w:themeColor="accent1" w:themeShade="BF"/>
                        </w:rPr>
                        <w:t xml:space="preserve">uotidien » </w:t>
                      </w:r>
                      <w:r w:rsidRPr="0069243D">
                        <w:rPr>
                          <w:rFonts w:cstheme="minorHAnsi"/>
                          <w:color w:val="2F5496" w:themeColor="accent1" w:themeShade="BF"/>
                        </w:rPr>
                        <w:t xml:space="preserve">est un projet transfrontalier franco-Belge, développé de 2020 à 2022 dans le cadre </w:t>
                      </w:r>
                      <w:r w:rsidRPr="0069243D">
                        <w:rPr>
                          <w:rFonts w:cstheme="minorHAnsi"/>
                          <w:b/>
                          <w:bCs/>
                          <w:color w:val="2F5496" w:themeColor="accent1" w:themeShade="BF"/>
                        </w:rPr>
                        <w:t>d’INTERREG V</w:t>
                      </w:r>
                      <w:r w:rsidRPr="0069243D">
                        <w:rPr>
                          <w:rFonts w:cstheme="minorHAnsi"/>
                          <w:color w:val="2F5496" w:themeColor="accent1" w:themeShade="BF"/>
                        </w:rPr>
                        <w:t>.</w:t>
                      </w:r>
                      <w:r w:rsidRPr="0069243D">
                        <w:rPr>
                          <w:rFonts w:cstheme="minorHAnsi"/>
                          <w:i/>
                          <w:iCs/>
                          <w:color w:val="2F5496" w:themeColor="accent1" w:themeShade="BF"/>
                        </w:rPr>
                        <w:t xml:space="preserve"> </w:t>
                      </w:r>
                    </w:p>
                    <w:p w14:paraId="6EA22A36" w14:textId="71E15BC6" w:rsidR="005866E2" w:rsidRDefault="005866E2" w:rsidP="005866E2">
                      <w:pPr>
                        <w:rPr>
                          <w:rFonts w:cstheme="minorHAnsi"/>
                          <w:color w:val="2F5496" w:themeColor="accent1" w:themeShade="BF"/>
                        </w:rPr>
                      </w:pPr>
                      <w:r w:rsidRPr="0069243D">
                        <w:rPr>
                          <w:rFonts w:cstheme="minorHAnsi"/>
                          <w:color w:val="2F5496" w:themeColor="accent1" w:themeShade="BF"/>
                        </w:rPr>
                        <w:t xml:space="preserve">Il est porté pour </w:t>
                      </w:r>
                      <w:r w:rsidRPr="0069243D">
                        <w:rPr>
                          <w:rFonts w:cstheme="minorHAnsi"/>
                          <w:b/>
                          <w:bCs/>
                          <w:color w:val="2F5496" w:themeColor="accent1" w:themeShade="BF"/>
                        </w:rPr>
                        <w:t>la Belgique</w:t>
                      </w:r>
                      <w:r w:rsidRPr="0069243D">
                        <w:rPr>
                          <w:rFonts w:cstheme="minorHAnsi"/>
                          <w:color w:val="2F5496" w:themeColor="accent1" w:themeShade="BF"/>
                        </w:rPr>
                        <w:t xml:space="preserve">, par le Centre d’Éducation du Patient asbl et l’Alliance Nationale des Mutualités chrétiennes et </w:t>
                      </w:r>
                      <w:r w:rsidRPr="0069243D">
                        <w:rPr>
                          <w:rFonts w:cstheme="minorHAnsi"/>
                          <w:b/>
                          <w:bCs/>
                          <w:color w:val="2F5496" w:themeColor="accent1" w:themeShade="BF"/>
                        </w:rPr>
                        <w:t>pour la France</w:t>
                      </w:r>
                      <w:r w:rsidRPr="0069243D">
                        <w:rPr>
                          <w:rFonts w:cstheme="minorHAnsi"/>
                          <w:color w:val="2F5496" w:themeColor="accent1" w:themeShade="BF"/>
                        </w:rPr>
                        <w:t>, par la Caisse Primaire d’Assurance Maladie des Ardennes et par ADDICA, dispositif au sein de l’association d’appui aux professionnels de santé. Sont partenaires associés du projet, l’AVIQ (B), l’Hôpital psychiatrique de Bertrix (B), le CSAPA (F) et l’ARS Grand-Est (F).</w:t>
                      </w:r>
                    </w:p>
                    <w:p w14:paraId="5CC286AE" w14:textId="5941B8CC" w:rsidR="00A84258" w:rsidRPr="00A84258" w:rsidRDefault="00A84258" w:rsidP="00A84258">
                      <w:pPr>
                        <w:spacing w:after="0" w:line="240" w:lineRule="auto"/>
                        <w:jc w:val="center"/>
                        <w:rPr>
                          <w:rFonts w:cstheme="minorHAnsi"/>
                          <w:color w:val="2F5496" w:themeColor="accent1" w:themeShade="BF"/>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629"/>
                      </w:tblGrid>
                      <w:tr w:rsidR="00A84258" w14:paraId="7E46ADF6" w14:textId="77777777" w:rsidTr="00A84258">
                        <w:tc>
                          <w:tcPr>
                            <w:tcW w:w="1717" w:type="dxa"/>
                          </w:tcPr>
                          <w:p w14:paraId="6F9E8721" w14:textId="2FA9C0B5" w:rsidR="00A84258" w:rsidRDefault="00A84258" w:rsidP="00A84258">
                            <w:pPr>
                              <w:jc w:val="center"/>
                              <w:rPr>
                                <w:rFonts w:cstheme="minorHAnsi"/>
                                <w:color w:val="2F5496" w:themeColor="accent1" w:themeShade="BF"/>
                                <w:sz w:val="16"/>
                                <w:szCs w:val="16"/>
                              </w:rPr>
                            </w:pPr>
                            <w:r w:rsidRPr="00A84258">
                              <w:rPr>
                                <w:rFonts w:cstheme="minorHAnsi"/>
                                <w:noProof/>
                                <w:color w:val="2F5496" w:themeColor="accent1" w:themeShade="BF"/>
                                <w:sz w:val="16"/>
                                <w:szCs w:val="16"/>
                                <w:lang w:val="fr-FR" w:eastAsia="fr-FR"/>
                              </w:rPr>
                              <w:drawing>
                                <wp:inline distT="0" distB="0" distL="0" distR="0" wp14:anchorId="4DCD9AAF" wp14:editId="63B3FD78">
                                  <wp:extent cx="1023932" cy="456778"/>
                                  <wp:effectExtent l="0" t="0" r="508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ssurance malad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6874" cy="511623"/>
                                          </a:xfrm>
                                          <a:prstGeom prst="rect">
                                            <a:avLst/>
                                          </a:prstGeom>
                                        </pic:spPr>
                                      </pic:pic>
                                    </a:graphicData>
                                  </a:graphic>
                                </wp:inline>
                              </w:drawing>
                            </w:r>
                            <w:r>
                              <w:rPr>
                                <w:rFonts w:cstheme="minorHAnsi"/>
                                <w:color w:val="2F5496" w:themeColor="accent1" w:themeShade="BF"/>
                                <w:sz w:val="16"/>
                                <w:szCs w:val="16"/>
                              </w:rPr>
                              <w:br/>
                            </w:r>
                          </w:p>
                        </w:tc>
                        <w:tc>
                          <w:tcPr>
                            <w:tcW w:w="1836" w:type="dxa"/>
                          </w:tcPr>
                          <w:p w14:paraId="2FB2ED4F" w14:textId="6054A547" w:rsidR="00A84258" w:rsidRDefault="00A84258" w:rsidP="00A84258">
                            <w:pPr>
                              <w:jc w:val="center"/>
                              <w:rPr>
                                <w:rFonts w:cstheme="minorHAnsi"/>
                                <w:color w:val="2F5496" w:themeColor="accent1" w:themeShade="BF"/>
                                <w:sz w:val="16"/>
                                <w:szCs w:val="16"/>
                              </w:rPr>
                            </w:pPr>
                            <w:r>
                              <w:rPr>
                                <w:rFonts w:cstheme="minorHAnsi"/>
                                <w:noProof/>
                                <w:color w:val="2F5496" w:themeColor="accent1" w:themeShade="BF"/>
                                <w:lang w:val="fr-FR" w:eastAsia="fr-FR"/>
                              </w:rPr>
                              <w:drawing>
                                <wp:inline distT="0" distB="0" distL="0" distR="0" wp14:anchorId="2A557F91" wp14:editId="6DA7FAFB">
                                  <wp:extent cx="545094" cy="546265"/>
                                  <wp:effectExtent l="0" t="0" r="7620"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s_MC_Logo_MC_button_sans_slogan_CMYK_FR.png"/>
                                          <pic:cNvPicPr/>
                                        </pic:nvPicPr>
                                        <pic:blipFill>
                                          <a:blip r:embed="rId9">
                                            <a:extLst>
                                              <a:ext uri="{28A0092B-C50C-407E-A947-70E740481C1C}">
                                                <a14:useLocalDpi xmlns:a14="http://schemas.microsoft.com/office/drawing/2010/main" val="0"/>
                                              </a:ext>
                                            </a:extLst>
                                          </a:blip>
                                          <a:stretch>
                                            <a:fillRect/>
                                          </a:stretch>
                                        </pic:blipFill>
                                        <pic:spPr>
                                          <a:xfrm>
                                            <a:off x="0" y="0"/>
                                            <a:ext cx="818937" cy="820696"/>
                                          </a:xfrm>
                                          <a:prstGeom prst="rect">
                                            <a:avLst/>
                                          </a:prstGeom>
                                        </pic:spPr>
                                      </pic:pic>
                                    </a:graphicData>
                                  </a:graphic>
                                </wp:inline>
                              </w:drawing>
                            </w:r>
                          </w:p>
                        </w:tc>
                      </w:tr>
                      <w:tr w:rsidR="00A84258" w14:paraId="7213707E" w14:textId="77777777" w:rsidTr="00A84258">
                        <w:tc>
                          <w:tcPr>
                            <w:tcW w:w="1717" w:type="dxa"/>
                          </w:tcPr>
                          <w:p w14:paraId="788CB465" w14:textId="1C07E997" w:rsidR="00A84258" w:rsidRDefault="00A84258" w:rsidP="00A84258">
                            <w:pPr>
                              <w:jc w:val="center"/>
                              <w:rPr>
                                <w:rFonts w:cstheme="minorHAnsi"/>
                                <w:color w:val="2F5496" w:themeColor="accent1" w:themeShade="BF"/>
                                <w:sz w:val="16"/>
                                <w:szCs w:val="16"/>
                              </w:rPr>
                            </w:pPr>
                            <w:r w:rsidRPr="00A84258">
                              <w:rPr>
                                <w:rFonts w:cstheme="minorHAnsi"/>
                                <w:noProof/>
                                <w:color w:val="2F5496" w:themeColor="accent1" w:themeShade="BF"/>
                                <w:sz w:val="16"/>
                                <w:szCs w:val="16"/>
                                <w:lang w:val="fr-FR" w:eastAsia="fr-FR"/>
                              </w:rPr>
                              <w:drawing>
                                <wp:inline distT="0" distB="0" distL="0" distR="0" wp14:anchorId="76990D56" wp14:editId="21DF55F3">
                                  <wp:extent cx="1045029" cy="399129"/>
                                  <wp:effectExtent l="0" t="0" r="317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Addica.jpg"/>
                                          <pic:cNvPicPr/>
                                        </pic:nvPicPr>
                                        <pic:blipFill>
                                          <a:blip r:embed="rId10">
                                            <a:extLst>
                                              <a:ext uri="{28A0092B-C50C-407E-A947-70E740481C1C}">
                                                <a14:useLocalDpi xmlns:a14="http://schemas.microsoft.com/office/drawing/2010/main" val="0"/>
                                              </a:ext>
                                            </a:extLst>
                                          </a:blip>
                                          <a:stretch>
                                            <a:fillRect/>
                                          </a:stretch>
                                        </pic:blipFill>
                                        <pic:spPr>
                                          <a:xfrm>
                                            <a:off x="0" y="0"/>
                                            <a:ext cx="1110986" cy="424320"/>
                                          </a:xfrm>
                                          <a:prstGeom prst="rect">
                                            <a:avLst/>
                                          </a:prstGeom>
                                        </pic:spPr>
                                      </pic:pic>
                                    </a:graphicData>
                                  </a:graphic>
                                </wp:inline>
                              </w:drawing>
                            </w:r>
                          </w:p>
                        </w:tc>
                        <w:tc>
                          <w:tcPr>
                            <w:tcW w:w="1836" w:type="dxa"/>
                          </w:tcPr>
                          <w:p w14:paraId="48F1749C" w14:textId="2B09D20C" w:rsidR="00A84258" w:rsidRDefault="00A84258" w:rsidP="00A84258">
                            <w:pPr>
                              <w:jc w:val="center"/>
                              <w:rPr>
                                <w:rFonts w:cstheme="minorHAnsi"/>
                                <w:color w:val="2F5496" w:themeColor="accent1" w:themeShade="BF"/>
                                <w:sz w:val="16"/>
                                <w:szCs w:val="16"/>
                              </w:rPr>
                            </w:pPr>
                            <w:r w:rsidRPr="00A84258">
                              <w:rPr>
                                <w:noProof/>
                                <w:sz w:val="16"/>
                                <w:szCs w:val="16"/>
                                <w:lang w:val="fr-FR" w:eastAsia="fr-FR"/>
                              </w:rPr>
                              <w:drawing>
                                <wp:inline distT="0" distB="0" distL="0" distR="0" wp14:anchorId="32CBCE2F" wp14:editId="33A72E58">
                                  <wp:extent cx="467640" cy="467640"/>
                                  <wp:effectExtent l="0" t="0" r="8890" b="8890"/>
                                  <wp:docPr id="14" name="Image 14" descr="https://www.educationdupatient.be/images/Logos/CEP-web.gi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Image 1" descr="https://www.educationdupatient.be/images/Logos/CEP-web.gif">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84" cy="752484"/>
                                          </a:xfrm>
                                          <a:prstGeom prst="rect">
                                            <a:avLst/>
                                          </a:prstGeom>
                                          <a:noFill/>
                                          <a:ln>
                                            <a:noFill/>
                                          </a:ln>
                                        </pic:spPr>
                                      </pic:pic>
                                    </a:graphicData>
                                  </a:graphic>
                                </wp:inline>
                              </w:drawing>
                            </w:r>
                          </w:p>
                        </w:tc>
                      </w:tr>
                    </w:tbl>
                    <w:p w14:paraId="72B69213" w14:textId="4A02453E" w:rsidR="00A84258" w:rsidRPr="00A84258" w:rsidRDefault="00A84258" w:rsidP="00A84258">
                      <w:pPr>
                        <w:spacing w:after="0" w:line="240" w:lineRule="auto"/>
                        <w:jc w:val="center"/>
                        <w:rPr>
                          <w:rFonts w:cstheme="minorHAnsi"/>
                          <w:color w:val="2F5496" w:themeColor="accent1" w:themeShade="BF"/>
                          <w:sz w:val="16"/>
                          <w:szCs w:val="16"/>
                        </w:rPr>
                      </w:pPr>
                    </w:p>
                    <w:p w14:paraId="3E99FCD5" w14:textId="4F58DABC" w:rsidR="00A84258" w:rsidRPr="00A84258" w:rsidRDefault="00B314FF"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r w:rsidR="00427804" w:rsidRPr="00A84258">
                        <w:rPr>
                          <w:rFonts w:cstheme="minorHAnsi"/>
                          <w:color w:val="2F5496" w:themeColor="accent1" w:themeShade="BF"/>
                          <w:sz w:val="16"/>
                          <w:szCs w:val="16"/>
                        </w:rPr>
                        <w:t xml:space="preserve"> </w:t>
                      </w:r>
                    </w:p>
                    <w:p w14:paraId="59CBAD27" w14:textId="029FC27D" w:rsidR="00A84258" w:rsidRPr="00A84258" w:rsidRDefault="00A84258"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p>
                    <w:p w14:paraId="6D8AB3F0" w14:textId="6ECF8D37" w:rsidR="00DA546D" w:rsidRPr="00A84258" w:rsidRDefault="00A84258" w:rsidP="00A84258">
                      <w:pPr>
                        <w:spacing w:after="0" w:line="240" w:lineRule="auto"/>
                        <w:jc w:val="center"/>
                        <w:rPr>
                          <w:rFonts w:cstheme="minorHAnsi"/>
                          <w:color w:val="2F5496" w:themeColor="accent1" w:themeShade="BF"/>
                          <w:sz w:val="16"/>
                          <w:szCs w:val="16"/>
                        </w:rPr>
                      </w:pPr>
                      <w:r w:rsidRPr="00A84258">
                        <w:rPr>
                          <w:rFonts w:cstheme="minorHAnsi"/>
                          <w:color w:val="2F5496" w:themeColor="accent1" w:themeShade="BF"/>
                          <w:sz w:val="16"/>
                          <w:szCs w:val="16"/>
                        </w:rPr>
                        <w:br/>
                      </w:r>
                    </w:p>
                    <w:p w14:paraId="47972EE6" w14:textId="77777777" w:rsidR="00610F75" w:rsidRDefault="00610F75" w:rsidP="005866E2">
                      <w:pPr>
                        <w:rPr>
                          <w:rFonts w:cstheme="minorHAnsi"/>
                          <w:color w:val="2F5496" w:themeColor="accent1" w:themeShade="BF"/>
                        </w:rPr>
                      </w:pPr>
                    </w:p>
                    <w:p w14:paraId="504D3881" w14:textId="4BFB6DC7" w:rsidR="00DA546D" w:rsidRPr="0069243D" w:rsidRDefault="00DA546D" w:rsidP="005866E2">
                      <w:pPr>
                        <w:rPr>
                          <w:rFonts w:cstheme="minorHAnsi"/>
                          <w:color w:val="2F5496" w:themeColor="accent1" w:themeShade="BF"/>
                        </w:rPr>
                      </w:pPr>
                    </w:p>
                  </w:txbxContent>
                </v:textbox>
                <w10:wrap type="square"/>
              </v:shape>
            </w:pict>
          </mc:Fallback>
        </mc:AlternateContent>
      </w:r>
      <w:r w:rsidR="00B01B67">
        <w:rPr>
          <w:b/>
          <w:bCs/>
          <w:noProof/>
          <w:sz w:val="26"/>
          <w:szCs w:val="26"/>
          <w:lang w:val="fr-FR" w:eastAsia="fr-FR"/>
        </w:rPr>
        <w:drawing>
          <wp:anchor distT="0" distB="0" distL="114300" distR="114300" simplePos="0" relativeHeight="251658240" behindDoc="0" locked="0" layoutInCell="1" allowOverlap="1" wp14:anchorId="7DA240E7" wp14:editId="0049E3A9">
            <wp:simplePos x="0" y="0"/>
            <wp:positionH relativeFrom="column">
              <wp:posOffset>4459605</wp:posOffset>
            </wp:positionH>
            <wp:positionV relativeFrom="page">
              <wp:posOffset>914400</wp:posOffset>
            </wp:positionV>
            <wp:extent cx="1663700" cy="450215"/>
            <wp:effectExtent l="0" t="0" r="0"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tre-site-Satraq.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700" cy="450215"/>
                    </a:xfrm>
                    <a:prstGeom prst="rect">
                      <a:avLst/>
                    </a:prstGeom>
                  </pic:spPr>
                </pic:pic>
              </a:graphicData>
            </a:graphic>
          </wp:anchor>
        </w:drawing>
      </w:r>
      <w:r w:rsidR="00B01B67">
        <w:rPr>
          <w:noProof/>
          <w:lang w:val="fr-FR" w:eastAsia="fr-FR"/>
        </w:rPr>
        <w:drawing>
          <wp:inline distT="0" distB="0" distL="0" distR="0" wp14:anchorId="593B15A4" wp14:editId="2251E9A7">
            <wp:extent cx="1498600" cy="711200"/>
            <wp:effectExtent l="0" t="0" r="635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8600" cy="711200"/>
                    </a:xfrm>
                    <a:prstGeom prst="rect">
                      <a:avLst/>
                    </a:prstGeom>
                    <a:noFill/>
                    <a:ln>
                      <a:noFill/>
                    </a:ln>
                  </pic:spPr>
                </pic:pic>
              </a:graphicData>
            </a:graphic>
          </wp:inline>
        </w:drawing>
      </w:r>
    </w:p>
    <w:p w14:paraId="30EE04C3" w14:textId="4DA3B467" w:rsidR="00F73F03" w:rsidRDefault="00F73F03" w:rsidP="00A84258">
      <w:pPr>
        <w:keepNext/>
        <w:keepLines/>
        <w:spacing w:after="0" w:line="240" w:lineRule="auto"/>
        <w:ind w:right="-141"/>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COMMUNIQUE DE PRESSE</w:t>
      </w:r>
      <w:r w:rsidR="00DA546D">
        <w:rPr>
          <w:rFonts w:asciiTheme="majorHAnsi" w:eastAsiaTheme="majorEastAsia" w:hAnsiTheme="majorHAnsi" w:cstheme="majorBidi"/>
          <w:color w:val="2F5496" w:themeColor="accent1" w:themeShade="BF"/>
          <w:sz w:val="26"/>
          <w:szCs w:val="26"/>
        </w:rPr>
        <w:t xml:space="preserve">- </w:t>
      </w:r>
      <w:r w:rsidR="00FE6936">
        <w:rPr>
          <w:rFonts w:asciiTheme="majorHAnsi" w:eastAsiaTheme="majorEastAsia" w:hAnsiTheme="majorHAnsi" w:cstheme="majorBidi"/>
          <w:color w:val="2F5496" w:themeColor="accent1" w:themeShade="BF"/>
          <w:sz w:val="26"/>
          <w:szCs w:val="26"/>
        </w:rPr>
        <w:t>Démarrage</w:t>
      </w:r>
      <w:r w:rsidR="00DA546D">
        <w:rPr>
          <w:rFonts w:asciiTheme="majorHAnsi" w:eastAsiaTheme="majorEastAsia" w:hAnsiTheme="majorHAnsi" w:cstheme="majorBidi"/>
          <w:color w:val="2F5496" w:themeColor="accent1" w:themeShade="BF"/>
          <w:sz w:val="26"/>
          <w:szCs w:val="26"/>
        </w:rPr>
        <w:t xml:space="preserve"> du projet</w:t>
      </w:r>
    </w:p>
    <w:p w14:paraId="338F8E22" w14:textId="794FD8F6" w:rsidR="00F73F03" w:rsidRDefault="00F73F03" w:rsidP="00A84258">
      <w:pPr>
        <w:keepNext/>
        <w:keepLines/>
        <w:spacing w:after="0" w:line="240" w:lineRule="auto"/>
        <w:ind w:right="-141"/>
        <w:outlineLvl w:val="1"/>
        <w:rPr>
          <w:rFonts w:asciiTheme="majorHAnsi" w:eastAsiaTheme="majorEastAsia" w:hAnsiTheme="majorHAnsi" w:cstheme="majorBidi"/>
          <w:color w:val="2F5496" w:themeColor="accent1" w:themeShade="BF"/>
          <w:sz w:val="26"/>
          <w:szCs w:val="26"/>
        </w:rPr>
      </w:pPr>
    </w:p>
    <w:p w14:paraId="224DA022" w14:textId="484DE1DE" w:rsidR="00B01B67" w:rsidRPr="00B01B67" w:rsidRDefault="00B01B67" w:rsidP="00A84258">
      <w:pPr>
        <w:keepNext/>
        <w:keepLines/>
        <w:spacing w:after="0" w:line="240" w:lineRule="auto"/>
        <w:ind w:right="-141"/>
        <w:outlineLvl w:val="1"/>
        <w:rPr>
          <w:rFonts w:asciiTheme="majorHAnsi" w:eastAsiaTheme="majorEastAsia" w:hAnsiTheme="majorHAnsi" w:cstheme="majorBidi"/>
          <w:color w:val="2F5496" w:themeColor="accent1" w:themeShade="BF"/>
          <w:sz w:val="26"/>
          <w:szCs w:val="26"/>
        </w:rPr>
      </w:pPr>
      <w:r w:rsidRPr="00B01B67">
        <w:rPr>
          <w:rFonts w:asciiTheme="majorHAnsi" w:eastAsiaTheme="majorEastAsia" w:hAnsiTheme="majorHAnsi" w:cstheme="majorBidi"/>
          <w:color w:val="2F5496" w:themeColor="accent1" w:themeShade="BF"/>
          <w:sz w:val="26"/>
          <w:szCs w:val="26"/>
        </w:rPr>
        <w:t>SATRAQ, parce que notre santé est précieuse…</w:t>
      </w:r>
    </w:p>
    <w:p w14:paraId="01C16C1E" w14:textId="685E7CCB" w:rsidR="00F73F03" w:rsidRPr="00F73F03" w:rsidRDefault="00F73F03" w:rsidP="00A84258">
      <w:pPr>
        <w:spacing w:after="0"/>
        <w:ind w:right="-141"/>
        <w:rPr>
          <w:b/>
          <w:bCs/>
          <w:i/>
          <w:iCs/>
        </w:rPr>
      </w:pPr>
    </w:p>
    <w:p w14:paraId="1704FF89" w14:textId="495C91DF" w:rsidR="00B01B67" w:rsidRPr="00B01B67" w:rsidRDefault="00B01B67" w:rsidP="00A84258">
      <w:pPr>
        <w:ind w:right="-141"/>
        <w:rPr>
          <w:b/>
          <w:bCs/>
          <w:i/>
          <w:iCs/>
        </w:rPr>
      </w:pPr>
      <w:r w:rsidRPr="00B01B67">
        <w:rPr>
          <w:b/>
          <w:bCs/>
          <w:i/>
          <w:iCs/>
        </w:rPr>
        <w:t xml:space="preserve">A l’heure du déconfinement, réduire les risques liés aux consommations de boissons alcoolisées est une priorité </w:t>
      </w:r>
    </w:p>
    <w:p w14:paraId="35CBF3AD" w14:textId="3AA62399" w:rsidR="00B01B67" w:rsidRDefault="00B01B67" w:rsidP="00A84258">
      <w:pPr>
        <w:ind w:right="-141"/>
      </w:pPr>
      <w:r>
        <w:t xml:space="preserve">Dans nos régions, la consommation de boissons alcoolisées est courante. Témoin du savoir-faire de nos producteurs, des soins apportés au produit, de « choix gustatifs », elle est souvent associée à des moments de détente, festifs ou de convivialité. </w:t>
      </w:r>
    </w:p>
    <w:p w14:paraId="44104A07" w14:textId="50D02603" w:rsidR="00F73F03" w:rsidRPr="00F73F03" w:rsidRDefault="00F73F03" w:rsidP="00A84258">
      <w:pPr>
        <w:spacing w:after="240"/>
        <w:ind w:right="-141"/>
      </w:pPr>
      <w:r w:rsidRPr="00F73F03">
        <w:rPr>
          <w:rFonts w:cstheme="minorHAnsi"/>
          <w:b/>
          <w:bCs/>
          <w:i/>
          <w:iCs/>
        </w:rPr>
        <w:t>Et pourtant, aucune consommation d’alcool n’est anodine</w:t>
      </w:r>
      <w:r w:rsidRPr="00F73F03">
        <w:rPr>
          <w:rFonts w:cstheme="minorHAnsi"/>
          <w:i/>
          <w:iCs/>
        </w:rPr>
        <w:t>.</w:t>
      </w:r>
      <w:r w:rsidRPr="00F73F03">
        <w:rPr>
          <w:rFonts w:cstheme="minorHAnsi"/>
        </w:rPr>
        <w:t xml:space="preserve"> L’alcool est responsable de près de 200 pathologies. </w:t>
      </w:r>
      <w:r w:rsidRPr="00F73F03">
        <w:t>Selon l’OMS (2018</w:t>
      </w:r>
      <w:r w:rsidR="009A750D">
        <w:t>,</w:t>
      </w:r>
      <w:r w:rsidRPr="00F73F03">
        <w:t xml:space="preserve"> l’alcool est la cause de 1 décès sur 20 dans le monde </w:t>
      </w:r>
      <w:r w:rsidRPr="00F73F03">
        <w:rPr>
          <w:vertAlign w:val="superscript"/>
        </w:rPr>
        <w:endnoteReference w:id="1"/>
      </w:r>
      <w:r w:rsidRPr="00F73F03">
        <w:t>; son usage le situe à la troisième place des facteurs de risque de maladies dans le monde</w:t>
      </w:r>
      <w:r w:rsidRPr="00F73F03">
        <w:rPr>
          <w:vertAlign w:val="superscript"/>
        </w:rPr>
        <w:endnoteReference w:id="2"/>
      </w:r>
      <w:r w:rsidRPr="00F73F03">
        <w:t>. C’est en Europe que la consommation par habitant est la plus élevée au monde ; elle est responsable de plus de 7% des maladies et décès prématurés qui serai</w:t>
      </w:r>
      <w:r w:rsidR="009A750D">
        <w:t>en</w:t>
      </w:r>
      <w:r w:rsidRPr="00F73F03">
        <w:t>t évitables dans l’UE</w:t>
      </w:r>
      <w:r w:rsidRPr="00F73F03">
        <w:rPr>
          <w:vertAlign w:val="superscript"/>
        </w:rPr>
        <w:endnoteReference w:id="3"/>
      </w:r>
      <w:r w:rsidRPr="00F73F03">
        <w:t>.  La France et la Belgique se trouvent particulièrement exposé</w:t>
      </w:r>
      <w:r w:rsidR="009A750D">
        <w:t>e</w:t>
      </w:r>
      <w:r w:rsidRPr="00F73F03">
        <w:t xml:space="preserve">s à ces risques car ces </w:t>
      </w:r>
      <w:r w:rsidR="009A750D">
        <w:t xml:space="preserve">deux </w:t>
      </w:r>
      <w:r w:rsidRPr="00F73F03">
        <w:t>pays se situent au-dessus de la consommation moyenne en Europe.</w:t>
      </w:r>
      <w:r w:rsidRPr="00F73F03">
        <w:rPr>
          <w:vertAlign w:val="superscript"/>
        </w:rPr>
        <w:endnoteReference w:id="4"/>
      </w:r>
    </w:p>
    <w:p w14:paraId="3FF4C263" w14:textId="355C6A8D" w:rsidR="00F73F03" w:rsidRPr="00F73F03" w:rsidRDefault="00F73F03" w:rsidP="00A84258">
      <w:pPr>
        <w:spacing w:after="240"/>
        <w:ind w:right="-141"/>
        <w:rPr>
          <w:rFonts w:cstheme="minorHAnsi"/>
        </w:rPr>
      </w:pPr>
      <w:r w:rsidRPr="00F73F03">
        <w:rPr>
          <w:rFonts w:cstheme="minorHAnsi"/>
        </w:rPr>
        <w:t>Les chiffres disponibles montrent que le mésusage est présent à chaque âge et concerne tant les hommes que les femmes. La population active et les plus 60 ans sont aussi particulièrement à risque.</w:t>
      </w:r>
    </w:p>
    <w:p w14:paraId="2BD2339F" w14:textId="78ADE927" w:rsidR="00F73F03" w:rsidRPr="00F73F03" w:rsidRDefault="00F73F03" w:rsidP="00A84258">
      <w:pPr>
        <w:spacing w:after="240"/>
        <w:ind w:right="-141"/>
        <w:rPr>
          <w:i/>
          <w:iCs/>
        </w:rPr>
      </w:pPr>
      <w:r w:rsidRPr="00F73F03">
        <w:t xml:space="preserve">Le confinement a remis sur le devant de la scène la problématique de l’alcool. Comme le souligne le Professeur Paille, </w:t>
      </w:r>
      <w:r w:rsidRPr="00F73F03">
        <w:rPr>
          <w:i/>
          <w:iCs/>
        </w:rPr>
        <w:t>« Le confinement s’est imposé à tous, et constitue une expérience inédite. Il a rapidement fait poser la question de ses conséquences : l’anxiété qui en résulte, l’isolement, mais aussi l’apparition de nouveaux comportements, apéros Skype ou autres ou encore les violences familiales… »</w:t>
      </w:r>
    </w:p>
    <w:p w14:paraId="3A132491" w14:textId="6D924291" w:rsidR="00F73F03" w:rsidRPr="00F73F03" w:rsidRDefault="0069243D" w:rsidP="00855FF5">
      <w:pPr>
        <w:pStyle w:val="Titre2"/>
      </w:pPr>
      <w:r w:rsidRPr="0069243D">
        <w:rPr>
          <w:rFonts w:cstheme="minorHAnsi"/>
          <w:b/>
          <w:bCs/>
          <w:noProof/>
          <w:lang w:eastAsia="fr-FR"/>
        </w:rPr>
        <mc:AlternateContent>
          <mc:Choice Requires="wps">
            <w:drawing>
              <wp:anchor distT="45720" distB="45720" distL="114300" distR="114300" simplePos="0" relativeHeight="251664384" behindDoc="0" locked="0" layoutInCell="1" allowOverlap="1" wp14:anchorId="1CE38BBB" wp14:editId="3D37C6E3">
                <wp:simplePos x="0" y="0"/>
                <wp:positionH relativeFrom="margin">
                  <wp:posOffset>3905885</wp:posOffset>
                </wp:positionH>
                <wp:positionV relativeFrom="paragraph">
                  <wp:posOffset>18415</wp:posOffset>
                </wp:positionV>
                <wp:extent cx="2273935" cy="1454150"/>
                <wp:effectExtent l="0" t="0" r="12065" b="1270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454150"/>
                        </a:xfrm>
                        <a:prstGeom prst="rect">
                          <a:avLst/>
                        </a:prstGeom>
                        <a:solidFill>
                          <a:srgbClr val="FFFFFF"/>
                        </a:solidFill>
                        <a:ln w="9525">
                          <a:solidFill>
                            <a:srgbClr val="000000"/>
                          </a:solidFill>
                          <a:miter lim="800000"/>
                          <a:headEnd/>
                          <a:tailEnd/>
                        </a:ln>
                      </wps:spPr>
                      <wps:txbx>
                        <w:txbxContent>
                          <w:p w14:paraId="5BE366F4" w14:textId="61A0E75D" w:rsidR="0069243D" w:rsidRPr="00D350E3" w:rsidRDefault="0069243D" w:rsidP="00D350E3">
                            <w:pPr>
                              <w:spacing w:after="100" w:afterAutospacing="1"/>
                              <w:rPr>
                                <w:rFonts w:cstheme="minorHAnsi"/>
                                <w:i/>
                                <w:iCs/>
                                <w:color w:val="2F5496" w:themeColor="accent1" w:themeShade="BF"/>
                              </w:rPr>
                            </w:pPr>
                            <w:r w:rsidRPr="009A750D">
                              <w:rPr>
                                <w:rFonts w:cstheme="minorHAnsi"/>
                                <w:b/>
                                <w:bCs/>
                                <w:color w:val="2F5496" w:themeColor="accent1" w:themeShade="BF"/>
                              </w:rPr>
                              <w:t xml:space="preserve">Retrouvez plus de données </w:t>
                            </w:r>
                            <w:r w:rsidRPr="009A750D">
                              <w:rPr>
                                <w:rFonts w:cstheme="minorHAnsi"/>
                                <w:color w:val="2F5496" w:themeColor="accent1" w:themeShade="BF"/>
                              </w:rPr>
                              <w:t>dans l’article du Professeur Paille,</w:t>
                            </w:r>
                            <w:r w:rsidRPr="0069243D">
                              <w:rPr>
                                <w:rFonts w:cstheme="minorHAnsi"/>
                                <w:color w:val="2F5496" w:themeColor="accent1" w:themeShade="BF"/>
                              </w:rPr>
                              <w:t xml:space="preserve"> Nancy (France) en annexe </w:t>
                            </w:r>
                            <w:r w:rsidRPr="00DA546D">
                              <w:rPr>
                                <w:rFonts w:cstheme="minorHAnsi"/>
                                <w:i/>
                                <w:iCs/>
                                <w:color w:val="2F5496" w:themeColor="accent1" w:themeShade="BF"/>
                              </w:rPr>
                              <w:t>« Le projet SATRAQ : une réponse adaptée et innovante à la consommation excessive d’alcool dans un territoire transfrontalier »</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E38BBB" id="_x0000_s1027" type="#_x0000_t202" style="position:absolute;margin-left:307.55pt;margin-top:1.45pt;width:179.05pt;height:11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">
                <v:textbox>
                  <w:txbxContent>
                    <w:p w14:paraId="5BE366F4" w14:textId="61A0E75D" w:rsidR="0069243D" w:rsidRPr="00D350E3" w:rsidRDefault="0069243D" w:rsidP="00D350E3">
                      <w:pPr>
                        <w:spacing w:after="100" w:afterAutospacing="1"/>
                        <w:rPr>
                          <w:rFonts w:cstheme="minorHAnsi"/>
                          <w:i/>
                          <w:iCs/>
                          <w:color w:val="2F5496" w:themeColor="accent1" w:themeShade="BF"/>
                        </w:rPr>
                      </w:pPr>
                      <w:r w:rsidRPr="009A750D">
                        <w:rPr>
                          <w:rFonts w:cstheme="minorHAnsi"/>
                          <w:b/>
                          <w:bCs/>
                          <w:color w:val="2F5496" w:themeColor="accent1" w:themeShade="BF"/>
                        </w:rPr>
                        <w:t xml:space="preserve">Retrouvez plus de données </w:t>
                      </w:r>
                      <w:r w:rsidRPr="009A750D">
                        <w:rPr>
                          <w:rFonts w:cstheme="minorHAnsi"/>
                          <w:color w:val="2F5496" w:themeColor="accent1" w:themeShade="BF"/>
                        </w:rPr>
                        <w:t>dans l’article du Professeur Paille,</w:t>
                      </w:r>
                      <w:r w:rsidRPr="0069243D">
                        <w:rPr>
                          <w:rFonts w:cstheme="minorHAnsi"/>
                          <w:color w:val="2F5496" w:themeColor="accent1" w:themeShade="BF"/>
                        </w:rPr>
                        <w:t xml:space="preserve"> Nancy (France) en annexe </w:t>
                      </w:r>
                      <w:r w:rsidRPr="00DA546D">
                        <w:rPr>
                          <w:rFonts w:cstheme="minorHAnsi"/>
                          <w:i/>
                          <w:iCs/>
                          <w:color w:val="2F5496" w:themeColor="accent1" w:themeShade="BF"/>
                        </w:rPr>
                        <w:t>« Le projet SATRAQ : une réponse adaptée et innovante à la consommation excessive d’alcool dans un territoire transfrontalier »</w:t>
                      </w:r>
                    </w:p>
                  </w:txbxContent>
                </v:textbox>
                <w10:wrap type="square" anchorx="margin"/>
              </v:shape>
            </w:pict>
          </mc:Fallback>
        </mc:AlternateContent>
      </w:r>
      <w:r w:rsidR="00F73F03" w:rsidRPr="00F73F03">
        <w:t xml:space="preserve"> Quelques chiffres : </w:t>
      </w:r>
    </w:p>
    <w:p w14:paraId="0B6EA54C" w14:textId="4A4FAC4F" w:rsidR="00F73F03" w:rsidRPr="00A84258" w:rsidRDefault="00F73F03" w:rsidP="00A84258">
      <w:pPr>
        <w:pStyle w:val="Paragraphedeliste"/>
        <w:numPr>
          <w:ilvl w:val="0"/>
          <w:numId w:val="4"/>
        </w:numPr>
        <w:spacing w:after="0"/>
        <w:ind w:right="-141"/>
        <w:rPr>
          <w:i/>
          <w:iCs/>
        </w:rPr>
      </w:pPr>
      <w:r w:rsidRPr="00A84258">
        <w:rPr>
          <w:i/>
          <w:iCs/>
        </w:rPr>
        <w:t>En France, durant le confinement, près d’un quart des Français ont diminué leur consommation d’alcool, alors que 11 % l’ont augmentée.</w:t>
      </w:r>
    </w:p>
    <w:p w14:paraId="7F765D63" w14:textId="77777777" w:rsidR="00623300" w:rsidRPr="00623300" w:rsidRDefault="00F73F03" w:rsidP="00D9798C">
      <w:pPr>
        <w:pStyle w:val="Paragraphedeliste"/>
        <w:numPr>
          <w:ilvl w:val="0"/>
          <w:numId w:val="2"/>
        </w:numPr>
        <w:tabs>
          <w:tab w:val="left" w:pos="284"/>
        </w:tabs>
        <w:spacing w:after="0"/>
        <w:ind w:left="284" w:right="-141" w:hanging="284"/>
        <w:rPr>
          <w:b/>
          <w:bCs/>
        </w:rPr>
      </w:pPr>
      <w:r w:rsidRPr="00623300">
        <w:rPr>
          <w:i/>
          <w:iCs/>
        </w:rPr>
        <w:t>En Belgique, 15 % des personnes qui ne consommaient pas de boissons alcoolisées avant le confinement ont commencé à en boire. À l’inverse, le même pourcentage a arrêté.</w:t>
      </w:r>
    </w:p>
    <w:p w14:paraId="4AC88737" w14:textId="02C29FBA" w:rsidR="00F73F03" w:rsidRPr="00623300" w:rsidRDefault="00F73F03" w:rsidP="00855FF5">
      <w:pPr>
        <w:pStyle w:val="Paragraphedeliste"/>
        <w:numPr>
          <w:ilvl w:val="0"/>
          <w:numId w:val="2"/>
        </w:numPr>
        <w:tabs>
          <w:tab w:val="left" w:pos="284"/>
        </w:tabs>
        <w:spacing w:after="0"/>
        <w:ind w:left="284" w:right="-141" w:hanging="284"/>
        <w:rPr>
          <w:b/>
          <w:bCs/>
        </w:rPr>
      </w:pPr>
      <w:r w:rsidRPr="00623300">
        <w:rPr>
          <w:i/>
          <w:iCs/>
        </w:rPr>
        <w:t xml:space="preserve">Tant en France qu’en Belgique, les causes citées pour expliquer cette augmentation sont principalement l’ennui, la solitude ou au contraire la socialisation, la récompense après une journée difficile, la désorganisation des journées. </w:t>
      </w:r>
    </w:p>
    <w:p w14:paraId="33F5E084" w14:textId="77777777" w:rsidR="001A0563" w:rsidRPr="001A0563" w:rsidRDefault="001A0563" w:rsidP="001A0563">
      <w:pPr>
        <w:tabs>
          <w:tab w:val="left" w:pos="9072"/>
        </w:tabs>
        <w:spacing w:after="0" w:line="240" w:lineRule="auto"/>
        <w:rPr>
          <w:sz w:val="16"/>
          <w:szCs w:val="16"/>
        </w:rPr>
      </w:pPr>
    </w:p>
    <w:p w14:paraId="3114363F" w14:textId="65AB8162" w:rsidR="0069243D" w:rsidRPr="0069243D" w:rsidRDefault="00F73F03" w:rsidP="00855FF5">
      <w:pPr>
        <w:tabs>
          <w:tab w:val="left" w:pos="9072"/>
        </w:tabs>
        <w:rPr>
          <w:b/>
          <w:bCs/>
        </w:rPr>
      </w:pPr>
      <w:r>
        <w:lastRenderedPageBreak/>
        <w:t xml:space="preserve">En phase de </w:t>
      </w:r>
      <w:r w:rsidRPr="00BA03E9">
        <w:t>déconfinement</w:t>
      </w:r>
      <w:r>
        <w:t>, nous sommes</w:t>
      </w:r>
      <w:r w:rsidR="009A750D">
        <w:t>,</w:t>
      </w:r>
      <w:r>
        <w:t xml:space="preserve"> a</w:t>
      </w:r>
      <w:r w:rsidRPr="00AA2A82">
        <w:t>ujourd’hui</w:t>
      </w:r>
      <w:r w:rsidR="009A750D">
        <w:t>,</w:t>
      </w:r>
      <w:r>
        <w:t xml:space="preserve"> une nouvelle fois confrontés à diverses </w:t>
      </w:r>
      <w:r w:rsidRPr="00BA03E9">
        <w:t>mesures</w:t>
      </w:r>
      <w:r>
        <w:t xml:space="preserve"> qui touchent </w:t>
      </w:r>
      <w:r w:rsidRPr="00BA03E9">
        <w:t>notre quotidien</w:t>
      </w:r>
      <w:r w:rsidR="00855FF5">
        <w:t xml:space="preserve">. </w:t>
      </w:r>
      <w:r w:rsidR="0069243D" w:rsidRPr="0069243D">
        <w:t xml:space="preserve">Face à l’incertitude, dans nos tentatives de lutter contre le stress et de nous rassurer, </w:t>
      </w:r>
      <w:r w:rsidR="0069243D" w:rsidRPr="001A0563">
        <w:rPr>
          <w:b/>
          <w:bCs/>
        </w:rPr>
        <w:t>la question des consommations d’alcool garde toute son importance.</w:t>
      </w:r>
      <w:r w:rsidR="0069243D" w:rsidRPr="0069243D">
        <w:t xml:space="preserve"> </w:t>
      </w:r>
      <w:r w:rsidR="00623300">
        <w:br/>
      </w:r>
    </w:p>
    <w:p w14:paraId="11D899C7" w14:textId="5D9C5206" w:rsidR="001A0563" w:rsidRPr="00976BF4" w:rsidRDefault="001A0563" w:rsidP="00976BF4">
      <w:pPr>
        <w:pStyle w:val="Titre2"/>
        <w:pBdr>
          <w:top w:val="single" w:sz="4" w:space="1" w:color="auto"/>
          <w:left w:val="single" w:sz="4" w:space="4" w:color="auto"/>
          <w:bottom w:val="single" w:sz="4" w:space="1" w:color="auto"/>
          <w:right w:val="single" w:sz="4" w:space="4" w:color="auto"/>
        </w:pBdr>
        <w:shd w:val="clear" w:color="auto" w:fill="4472C4" w:themeFill="accent1"/>
        <w:jc w:val="center"/>
        <w:rPr>
          <w:color w:val="FFFFFF" w:themeColor="background1"/>
        </w:rPr>
      </w:pPr>
      <w:bookmarkStart w:id="1" w:name="_Hlk40878231"/>
      <w:r w:rsidRPr="00976BF4">
        <w:rPr>
          <w:b/>
          <w:bCs/>
          <w:color w:val="FFFFFF" w:themeColor="background1"/>
        </w:rPr>
        <w:t>Le projet SATRAQ nous propose d’agir</w:t>
      </w:r>
    </w:p>
    <w:p w14:paraId="69997D51" w14:textId="77777777" w:rsidR="001A0563" w:rsidRPr="001A0563" w:rsidRDefault="001A0563" w:rsidP="001A0563">
      <w:pPr>
        <w:rPr>
          <w:lang w:val="fr-FR"/>
        </w:rPr>
      </w:pPr>
    </w:p>
    <w:p w14:paraId="6C07AEC0" w14:textId="13ED4E11" w:rsidR="00B01B67" w:rsidRPr="00B01B67" w:rsidRDefault="00B01B67" w:rsidP="00855FF5">
      <w:pPr>
        <w:pStyle w:val="Titre2"/>
      </w:pPr>
      <w:r w:rsidRPr="00B01B67">
        <w:t xml:space="preserve">SATRAQ questionne nos habitudes </w:t>
      </w:r>
    </w:p>
    <w:p w14:paraId="7DC7DFED" w14:textId="77777777" w:rsidR="00B01B67" w:rsidRPr="00B01B67" w:rsidRDefault="00B01B67" w:rsidP="00855FF5">
      <w:pPr>
        <w:tabs>
          <w:tab w:val="left" w:pos="9072"/>
        </w:tabs>
        <w:rPr>
          <w:rFonts w:cstheme="minorHAnsi"/>
          <w:lang w:val="fr-FR"/>
        </w:rPr>
      </w:pPr>
      <w:r w:rsidRPr="00B01B67">
        <w:rPr>
          <w:rFonts w:cstheme="minorHAnsi"/>
          <w:lang w:val="fr-FR"/>
        </w:rPr>
        <w:t xml:space="preserve">SATRAQ se penche sur ces habitudes de vie et de consommation qui s’installent souvent insidieusement et qui représentent des facteurs de risque pour la santé (consommations de boissons alcoolisées de plus en plus importantes ou régulières, sédentarité, alimentation déséquilibrée…). </w:t>
      </w:r>
    </w:p>
    <w:p w14:paraId="77E681C1" w14:textId="77777777" w:rsidR="00B01B67" w:rsidRPr="00B01B67" w:rsidRDefault="00B01B67" w:rsidP="00855FF5">
      <w:pPr>
        <w:pStyle w:val="Titre2"/>
      </w:pPr>
      <w:r w:rsidRPr="00B01B67">
        <w:t xml:space="preserve">SATRAQ s’adresse à </w:t>
      </w:r>
      <w:r w:rsidRPr="00855FF5">
        <w:t>tous</w:t>
      </w:r>
      <w:r w:rsidRPr="00B01B67">
        <w:t xml:space="preserve"> les publics</w:t>
      </w:r>
    </w:p>
    <w:p w14:paraId="610CB04A" w14:textId="7EE2C795" w:rsidR="00B01B67" w:rsidRPr="00B01B67" w:rsidRDefault="001A0563" w:rsidP="00A84258">
      <w:pPr>
        <w:tabs>
          <w:tab w:val="left" w:pos="9072"/>
        </w:tabs>
        <w:rPr>
          <w:i/>
          <w:iCs/>
        </w:rPr>
      </w:pPr>
      <w:r w:rsidRPr="0069243D">
        <w:rPr>
          <w:rFonts w:cstheme="minorHAnsi"/>
          <w:b/>
          <w:bCs/>
          <w:noProof/>
          <w:color w:val="000000" w:themeColor="text1"/>
          <w:lang w:val="fr-FR" w:eastAsia="fr-FR"/>
        </w:rPr>
        <mc:AlternateContent>
          <mc:Choice Requires="wps">
            <w:drawing>
              <wp:anchor distT="45720" distB="45720" distL="114300" distR="114300" simplePos="0" relativeHeight="251666432" behindDoc="0" locked="0" layoutInCell="1" allowOverlap="1" wp14:anchorId="2B35DDC8" wp14:editId="3C7058E8">
                <wp:simplePos x="0" y="0"/>
                <wp:positionH relativeFrom="page">
                  <wp:posOffset>4823460</wp:posOffset>
                </wp:positionH>
                <wp:positionV relativeFrom="paragraph">
                  <wp:posOffset>597535</wp:posOffset>
                </wp:positionV>
                <wp:extent cx="2559050" cy="4314825"/>
                <wp:effectExtent l="0" t="0" r="12700"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4314825"/>
                        </a:xfrm>
                        <a:prstGeom prst="rect">
                          <a:avLst/>
                        </a:prstGeom>
                        <a:solidFill>
                          <a:srgbClr val="FFFFFF"/>
                        </a:solidFill>
                        <a:ln w="9525">
                          <a:solidFill>
                            <a:srgbClr val="000000"/>
                          </a:solidFill>
                          <a:miter lim="800000"/>
                          <a:headEnd/>
                          <a:tailEnd/>
                        </a:ln>
                      </wps:spPr>
                      <wps:txbx>
                        <w:txbxContent>
                          <w:p w14:paraId="03B512E5" w14:textId="77777777" w:rsidR="0069243D" w:rsidRPr="0084686B" w:rsidRDefault="0069243D" w:rsidP="0069243D">
                            <w:pPr>
                              <w:spacing w:after="0"/>
                              <w:rPr>
                                <w:rFonts w:cstheme="minorHAnsi"/>
                                <w:b/>
                                <w:bCs/>
                                <w:color w:val="2F5496" w:themeColor="accent1" w:themeShade="BF"/>
                                <w:sz w:val="18"/>
                                <w:szCs w:val="18"/>
                              </w:rPr>
                            </w:pPr>
                            <w:r w:rsidRPr="0084686B">
                              <w:rPr>
                                <w:rFonts w:cstheme="minorHAnsi"/>
                                <w:b/>
                                <w:bCs/>
                                <w:color w:val="2F5496" w:themeColor="accent1" w:themeShade="BF"/>
                                <w:sz w:val="18"/>
                                <w:szCs w:val="18"/>
                              </w:rPr>
                              <w:t>SATRAQ s’appuie sur un comité scientifique franco-belge</w:t>
                            </w:r>
                          </w:p>
                          <w:p w14:paraId="54A29975"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Dr Anne-Françoise Bertin-Leutenegger (F),</w:t>
                            </w:r>
                            <w:r w:rsidRPr="0084686B">
                              <w:rPr>
                                <w:rFonts w:cstheme="minorHAnsi"/>
                                <w:color w:val="2F5496" w:themeColor="accent1" w:themeShade="BF"/>
                                <w:sz w:val="18"/>
                                <w:szCs w:val="18"/>
                              </w:rPr>
                              <w:t xml:space="preserve"> Médecin addictologue ; responsable pôle d'addictologie de la Marne (51).</w:t>
                            </w:r>
                          </w:p>
                          <w:p w14:paraId="7CE5F52B"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Dr Michael Callens (B), </w:t>
                            </w:r>
                            <w:r w:rsidRPr="0084686B">
                              <w:rPr>
                                <w:rFonts w:cstheme="minorHAnsi"/>
                                <w:color w:val="2F5496" w:themeColor="accent1" w:themeShade="BF"/>
                                <w:sz w:val="18"/>
                                <w:szCs w:val="18"/>
                              </w:rPr>
                              <w:t>Alliance Nationale des Mutualités Chrétiennes (ANMC).</w:t>
                            </w:r>
                          </w:p>
                          <w:p w14:paraId="1CFB6065" w14:textId="77777777" w:rsidR="0069243D" w:rsidRPr="0084686B" w:rsidRDefault="0069243D" w:rsidP="0069243D">
                            <w:pPr>
                              <w:pStyle w:val="Paragraphedeliste"/>
                              <w:numPr>
                                <w:ilvl w:val="0"/>
                                <w:numId w:val="3"/>
                              </w:numPr>
                              <w:rPr>
                                <w:rFonts w:cstheme="minorHAnsi"/>
                                <w:b/>
                                <w:bCs/>
                                <w:color w:val="2F5496" w:themeColor="accent1" w:themeShade="BF"/>
                                <w:sz w:val="18"/>
                                <w:szCs w:val="18"/>
                              </w:rPr>
                            </w:pPr>
                            <w:r w:rsidRPr="0084686B">
                              <w:rPr>
                                <w:rFonts w:cstheme="minorHAnsi"/>
                                <w:b/>
                                <w:bCs/>
                                <w:color w:val="2F5496" w:themeColor="accent1" w:themeShade="BF"/>
                                <w:sz w:val="18"/>
                                <w:szCs w:val="18"/>
                              </w:rPr>
                              <w:t xml:space="preserve">Dr Marie Hélène Coche, </w:t>
                            </w:r>
                            <w:r w:rsidRPr="0084686B">
                              <w:rPr>
                                <w:rFonts w:cstheme="minorHAnsi"/>
                                <w:color w:val="2F5496" w:themeColor="accent1" w:themeShade="BF"/>
                                <w:sz w:val="18"/>
                                <w:szCs w:val="18"/>
                              </w:rPr>
                              <w:t>Médecin responsable Centre d’Examens de Santé et Service Prévention de la CPAM 08, Charleville-Mézières (CES)</w:t>
                            </w:r>
                            <w:r w:rsidRPr="0084686B">
                              <w:rPr>
                                <w:rFonts w:cstheme="minorHAnsi"/>
                                <w:b/>
                                <w:bCs/>
                                <w:color w:val="2F5496" w:themeColor="accent1" w:themeShade="BF"/>
                                <w:sz w:val="18"/>
                                <w:szCs w:val="18"/>
                              </w:rPr>
                              <w:t xml:space="preserve"> </w:t>
                            </w:r>
                          </w:p>
                          <w:p w14:paraId="72ADBA36"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Dr Isabelle Demaret (B)</w:t>
                            </w:r>
                            <w:r w:rsidRPr="0084686B">
                              <w:rPr>
                                <w:rFonts w:cstheme="minorHAnsi"/>
                                <w:color w:val="2F5496" w:themeColor="accent1" w:themeShade="BF"/>
                                <w:sz w:val="18"/>
                                <w:szCs w:val="18"/>
                              </w:rPr>
                              <w:t>, AVIQ.</w:t>
                            </w:r>
                          </w:p>
                          <w:p w14:paraId="0DCD9A50"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Mme France Gérard (B), </w:t>
                            </w:r>
                            <w:bookmarkStart w:id="2" w:name="_Hlk36718687"/>
                            <w:r w:rsidRPr="0084686B">
                              <w:rPr>
                                <w:rFonts w:cstheme="minorHAnsi"/>
                                <w:color w:val="2F5496" w:themeColor="accent1" w:themeShade="BF"/>
                                <w:sz w:val="18"/>
                                <w:szCs w:val="18"/>
                              </w:rPr>
                              <w:t>Mutualités Chrétiennes (MC).</w:t>
                            </w:r>
                          </w:p>
                          <w:bookmarkEnd w:id="2"/>
                          <w:p w14:paraId="23A5A9BC"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Mme Christiane Mauvezin (F)</w:t>
                            </w:r>
                            <w:r w:rsidRPr="0084686B">
                              <w:rPr>
                                <w:rFonts w:cstheme="minorHAnsi"/>
                                <w:color w:val="2F5496" w:themeColor="accent1" w:themeShade="BF"/>
                                <w:sz w:val="18"/>
                                <w:szCs w:val="18"/>
                              </w:rPr>
                              <w:t>, Référente territoriale ETP Grand-Est - Champagne Ardenne.</w:t>
                            </w:r>
                          </w:p>
                          <w:p w14:paraId="256D4D64" w14:textId="77777777" w:rsidR="0069243D" w:rsidRPr="0084686B" w:rsidRDefault="0069243D" w:rsidP="0069243D">
                            <w:pPr>
                              <w:pStyle w:val="Paragraphedeliste"/>
                              <w:numPr>
                                <w:ilvl w:val="0"/>
                                <w:numId w:val="3"/>
                              </w:numPr>
                              <w:spacing w:after="0"/>
                              <w:contextualSpacing w:val="0"/>
                              <w:rPr>
                                <w:rFonts w:cstheme="minorHAnsi"/>
                                <w:b/>
                                <w:bCs/>
                                <w:color w:val="2F5496" w:themeColor="accent1" w:themeShade="BF"/>
                                <w:sz w:val="18"/>
                                <w:szCs w:val="18"/>
                              </w:rPr>
                            </w:pPr>
                            <w:r w:rsidRPr="0084686B">
                              <w:rPr>
                                <w:rFonts w:cstheme="minorHAnsi"/>
                                <w:b/>
                                <w:bCs/>
                                <w:color w:val="2F5496" w:themeColor="accent1" w:themeShade="BF"/>
                                <w:sz w:val="18"/>
                                <w:szCs w:val="18"/>
                              </w:rPr>
                              <w:t>Dr Thomas Orban (B)</w:t>
                            </w:r>
                            <w:r w:rsidRPr="0084686B">
                              <w:rPr>
                                <w:rFonts w:cstheme="minorHAnsi"/>
                                <w:color w:val="2F5496" w:themeColor="accent1" w:themeShade="BF"/>
                                <w:sz w:val="18"/>
                                <w:szCs w:val="18"/>
                              </w:rPr>
                              <w:t xml:space="preserve">, Médecin généraliste ; président SSMG. </w:t>
                            </w:r>
                          </w:p>
                          <w:p w14:paraId="6D3EC2BA" w14:textId="3E7252D3"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Pr. François Paille (F), </w:t>
                            </w:r>
                            <w:r w:rsidRPr="0084686B">
                              <w:rPr>
                                <w:rFonts w:cstheme="minorHAnsi"/>
                                <w:color w:val="2F5496" w:themeColor="accent1" w:themeShade="BF"/>
                                <w:sz w:val="18"/>
                                <w:szCs w:val="18"/>
                              </w:rPr>
                              <w:t>Professeur de thérapeutique - Addictologie. Fac</w:t>
                            </w:r>
                            <w:r w:rsidR="00BD60F2" w:rsidRPr="0084686B">
                              <w:rPr>
                                <w:rFonts w:cstheme="minorHAnsi"/>
                                <w:color w:val="2F5496" w:themeColor="accent1" w:themeShade="BF"/>
                                <w:sz w:val="18"/>
                                <w:szCs w:val="18"/>
                              </w:rPr>
                              <w:t>.</w:t>
                            </w:r>
                            <w:r w:rsidRPr="0084686B">
                              <w:rPr>
                                <w:rFonts w:cstheme="minorHAnsi"/>
                                <w:color w:val="2F5496" w:themeColor="accent1" w:themeShade="BF"/>
                                <w:sz w:val="18"/>
                                <w:szCs w:val="18"/>
                              </w:rPr>
                              <w:t xml:space="preserve"> de médecine Nancy - Addictologue- Président du réseau LORADDICT.</w:t>
                            </w:r>
                          </w:p>
                          <w:p w14:paraId="1BC14BC3" w14:textId="3B9A5CD4"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Dr Rémi </w:t>
                            </w:r>
                            <w:proofErr w:type="spellStart"/>
                            <w:r w:rsidRPr="0084686B">
                              <w:rPr>
                                <w:rFonts w:cstheme="minorHAnsi"/>
                                <w:b/>
                                <w:bCs/>
                                <w:color w:val="2F5496" w:themeColor="accent1" w:themeShade="BF"/>
                                <w:sz w:val="18"/>
                                <w:szCs w:val="18"/>
                              </w:rPr>
                              <w:t>Vannobel</w:t>
                            </w:r>
                            <w:proofErr w:type="spellEnd"/>
                            <w:r w:rsidRPr="0084686B">
                              <w:rPr>
                                <w:rFonts w:cstheme="minorHAnsi"/>
                                <w:b/>
                                <w:bCs/>
                                <w:color w:val="2F5496" w:themeColor="accent1" w:themeShade="BF"/>
                                <w:sz w:val="18"/>
                                <w:szCs w:val="18"/>
                              </w:rPr>
                              <w:t xml:space="preserve"> (F),</w:t>
                            </w:r>
                            <w:r w:rsidRPr="0084686B">
                              <w:rPr>
                                <w:rFonts w:cstheme="minorHAnsi"/>
                                <w:color w:val="2F5496" w:themeColor="accent1" w:themeShade="BF"/>
                                <w:sz w:val="18"/>
                                <w:szCs w:val="18"/>
                              </w:rPr>
                              <w:t xml:space="preserve"> Médecin </w:t>
                            </w:r>
                            <w:r w:rsidR="009A750D" w:rsidRPr="0084686B">
                              <w:rPr>
                                <w:rFonts w:cstheme="minorHAnsi"/>
                                <w:color w:val="2F5496" w:themeColor="accent1" w:themeShade="BF"/>
                                <w:sz w:val="18"/>
                                <w:szCs w:val="18"/>
                              </w:rPr>
                              <w:t>généraliste ;</w:t>
                            </w:r>
                            <w:r w:rsidRPr="0084686B">
                              <w:rPr>
                                <w:rFonts w:cstheme="minorHAnsi"/>
                                <w:color w:val="2F5496" w:themeColor="accent1" w:themeShade="BF"/>
                                <w:sz w:val="18"/>
                                <w:szCs w:val="18"/>
                              </w:rPr>
                              <w:t xml:space="preserve"> addictologue. Président d'ADDICA.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5DDC8" id="_x0000_s1028" type="#_x0000_t202" style="position:absolute;margin-left:379.8pt;margin-top:47.05pt;width:201.5pt;height:339.7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">
                <v:textbox>
                  <w:txbxContent>
                    <w:p w14:paraId="03B512E5" w14:textId="77777777" w:rsidR="0069243D" w:rsidRPr="0084686B" w:rsidRDefault="0069243D" w:rsidP="0069243D">
                      <w:pPr>
                        <w:spacing w:after="0"/>
                        <w:rPr>
                          <w:rFonts w:cstheme="minorHAnsi"/>
                          <w:b/>
                          <w:bCs/>
                          <w:color w:val="2F5496" w:themeColor="accent1" w:themeShade="BF"/>
                          <w:sz w:val="18"/>
                          <w:szCs w:val="18"/>
                        </w:rPr>
                      </w:pPr>
                      <w:r w:rsidRPr="0084686B">
                        <w:rPr>
                          <w:rFonts w:cstheme="minorHAnsi"/>
                          <w:b/>
                          <w:bCs/>
                          <w:color w:val="2F5496" w:themeColor="accent1" w:themeShade="BF"/>
                          <w:sz w:val="18"/>
                          <w:szCs w:val="18"/>
                        </w:rPr>
                        <w:t>SATRAQ s’appuie sur un comité scientifique franco-belge</w:t>
                      </w:r>
                    </w:p>
                    <w:p w14:paraId="54A29975"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Dr Anne-Françoise Bertin-Leutenegger (F),</w:t>
                      </w:r>
                      <w:r w:rsidRPr="0084686B">
                        <w:rPr>
                          <w:rFonts w:cstheme="minorHAnsi"/>
                          <w:color w:val="2F5496" w:themeColor="accent1" w:themeShade="BF"/>
                          <w:sz w:val="18"/>
                          <w:szCs w:val="18"/>
                        </w:rPr>
                        <w:t xml:space="preserve"> Médecin addictologue ; responsable pôle d'addictologie de la Marne (51).</w:t>
                      </w:r>
                    </w:p>
                    <w:p w14:paraId="7CE5F52B"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Dr Michael Callens (B), </w:t>
                      </w:r>
                      <w:r w:rsidRPr="0084686B">
                        <w:rPr>
                          <w:rFonts w:cstheme="minorHAnsi"/>
                          <w:color w:val="2F5496" w:themeColor="accent1" w:themeShade="BF"/>
                          <w:sz w:val="18"/>
                          <w:szCs w:val="18"/>
                        </w:rPr>
                        <w:t>Alliance Nationale des Mutualités Chrétiennes (ANMC).</w:t>
                      </w:r>
                    </w:p>
                    <w:p w14:paraId="1CFB6065" w14:textId="77777777" w:rsidR="0069243D" w:rsidRPr="0084686B" w:rsidRDefault="0069243D" w:rsidP="0069243D">
                      <w:pPr>
                        <w:pStyle w:val="Paragraphedeliste"/>
                        <w:numPr>
                          <w:ilvl w:val="0"/>
                          <w:numId w:val="3"/>
                        </w:numPr>
                        <w:rPr>
                          <w:rFonts w:cstheme="minorHAnsi"/>
                          <w:b/>
                          <w:bCs/>
                          <w:color w:val="2F5496" w:themeColor="accent1" w:themeShade="BF"/>
                          <w:sz w:val="18"/>
                          <w:szCs w:val="18"/>
                        </w:rPr>
                      </w:pPr>
                      <w:r w:rsidRPr="0084686B">
                        <w:rPr>
                          <w:rFonts w:cstheme="minorHAnsi"/>
                          <w:b/>
                          <w:bCs/>
                          <w:color w:val="2F5496" w:themeColor="accent1" w:themeShade="BF"/>
                          <w:sz w:val="18"/>
                          <w:szCs w:val="18"/>
                        </w:rPr>
                        <w:t xml:space="preserve">Dr Marie Hélène Coche, </w:t>
                      </w:r>
                      <w:r w:rsidRPr="0084686B">
                        <w:rPr>
                          <w:rFonts w:cstheme="minorHAnsi"/>
                          <w:color w:val="2F5496" w:themeColor="accent1" w:themeShade="BF"/>
                          <w:sz w:val="18"/>
                          <w:szCs w:val="18"/>
                        </w:rPr>
                        <w:t>Médecin responsable Centre d’Examens de Santé et Service Prévention de la CPAM 08, Charleville-Mézières (CES)</w:t>
                      </w:r>
                      <w:r w:rsidRPr="0084686B">
                        <w:rPr>
                          <w:rFonts w:cstheme="minorHAnsi"/>
                          <w:b/>
                          <w:bCs/>
                          <w:color w:val="2F5496" w:themeColor="accent1" w:themeShade="BF"/>
                          <w:sz w:val="18"/>
                          <w:szCs w:val="18"/>
                        </w:rPr>
                        <w:t xml:space="preserve"> </w:t>
                      </w:r>
                    </w:p>
                    <w:p w14:paraId="72ADBA36"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Dr Isabelle Demaret (B)</w:t>
                      </w:r>
                      <w:r w:rsidRPr="0084686B">
                        <w:rPr>
                          <w:rFonts w:cstheme="minorHAnsi"/>
                          <w:color w:val="2F5496" w:themeColor="accent1" w:themeShade="BF"/>
                          <w:sz w:val="18"/>
                          <w:szCs w:val="18"/>
                        </w:rPr>
                        <w:t>, AVIQ.</w:t>
                      </w:r>
                    </w:p>
                    <w:p w14:paraId="0DCD9A50"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Mme France Gérard (B), </w:t>
                      </w:r>
                      <w:bookmarkStart w:id="2" w:name="_Hlk36718687"/>
                      <w:r w:rsidRPr="0084686B">
                        <w:rPr>
                          <w:rFonts w:cstheme="minorHAnsi"/>
                          <w:color w:val="2F5496" w:themeColor="accent1" w:themeShade="BF"/>
                          <w:sz w:val="18"/>
                          <w:szCs w:val="18"/>
                        </w:rPr>
                        <w:t>Mutualités Chrétiennes (MC).</w:t>
                      </w:r>
                    </w:p>
                    <w:bookmarkEnd w:id="2"/>
                    <w:p w14:paraId="23A5A9BC" w14:textId="77777777"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Mme Christiane Mauvezin (F)</w:t>
                      </w:r>
                      <w:r w:rsidRPr="0084686B">
                        <w:rPr>
                          <w:rFonts w:cstheme="minorHAnsi"/>
                          <w:color w:val="2F5496" w:themeColor="accent1" w:themeShade="BF"/>
                          <w:sz w:val="18"/>
                          <w:szCs w:val="18"/>
                        </w:rPr>
                        <w:t>, Référente territoriale ETP Grand-Est - Champagne Ardenne.</w:t>
                      </w:r>
                    </w:p>
                    <w:p w14:paraId="256D4D64" w14:textId="77777777" w:rsidR="0069243D" w:rsidRPr="0084686B" w:rsidRDefault="0069243D" w:rsidP="0069243D">
                      <w:pPr>
                        <w:pStyle w:val="Paragraphedeliste"/>
                        <w:numPr>
                          <w:ilvl w:val="0"/>
                          <w:numId w:val="3"/>
                        </w:numPr>
                        <w:spacing w:after="0"/>
                        <w:contextualSpacing w:val="0"/>
                        <w:rPr>
                          <w:rFonts w:cstheme="minorHAnsi"/>
                          <w:b/>
                          <w:bCs/>
                          <w:color w:val="2F5496" w:themeColor="accent1" w:themeShade="BF"/>
                          <w:sz w:val="18"/>
                          <w:szCs w:val="18"/>
                        </w:rPr>
                      </w:pPr>
                      <w:r w:rsidRPr="0084686B">
                        <w:rPr>
                          <w:rFonts w:cstheme="minorHAnsi"/>
                          <w:b/>
                          <w:bCs/>
                          <w:color w:val="2F5496" w:themeColor="accent1" w:themeShade="BF"/>
                          <w:sz w:val="18"/>
                          <w:szCs w:val="18"/>
                        </w:rPr>
                        <w:t>Dr Thomas Orban (B)</w:t>
                      </w:r>
                      <w:r w:rsidRPr="0084686B">
                        <w:rPr>
                          <w:rFonts w:cstheme="minorHAnsi"/>
                          <w:color w:val="2F5496" w:themeColor="accent1" w:themeShade="BF"/>
                          <w:sz w:val="18"/>
                          <w:szCs w:val="18"/>
                        </w:rPr>
                        <w:t xml:space="preserve">, Médecin généraliste ; président SSMG. </w:t>
                      </w:r>
                    </w:p>
                    <w:p w14:paraId="6D3EC2BA" w14:textId="3E7252D3"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Pr. François Paille (F), </w:t>
                      </w:r>
                      <w:r w:rsidRPr="0084686B">
                        <w:rPr>
                          <w:rFonts w:cstheme="minorHAnsi"/>
                          <w:color w:val="2F5496" w:themeColor="accent1" w:themeShade="BF"/>
                          <w:sz w:val="18"/>
                          <w:szCs w:val="18"/>
                        </w:rPr>
                        <w:t>Professeur de thérapeutique - Addictologie. Fac</w:t>
                      </w:r>
                      <w:r w:rsidR="00BD60F2" w:rsidRPr="0084686B">
                        <w:rPr>
                          <w:rFonts w:cstheme="minorHAnsi"/>
                          <w:color w:val="2F5496" w:themeColor="accent1" w:themeShade="BF"/>
                          <w:sz w:val="18"/>
                          <w:szCs w:val="18"/>
                        </w:rPr>
                        <w:t>.</w:t>
                      </w:r>
                      <w:r w:rsidRPr="0084686B">
                        <w:rPr>
                          <w:rFonts w:cstheme="minorHAnsi"/>
                          <w:color w:val="2F5496" w:themeColor="accent1" w:themeShade="BF"/>
                          <w:sz w:val="18"/>
                          <w:szCs w:val="18"/>
                        </w:rPr>
                        <w:t xml:space="preserve"> </w:t>
                      </w:r>
                      <w:proofErr w:type="gramStart"/>
                      <w:r w:rsidRPr="0084686B">
                        <w:rPr>
                          <w:rFonts w:cstheme="minorHAnsi"/>
                          <w:color w:val="2F5496" w:themeColor="accent1" w:themeShade="BF"/>
                          <w:sz w:val="18"/>
                          <w:szCs w:val="18"/>
                        </w:rPr>
                        <w:t>de</w:t>
                      </w:r>
                      <w:proofErr w:type="gramEnd"/>
                      <w:r w:rsidRPr="0084686B">
                        <w:rPr>
                          <w:rFonts w:cstheme="minorHAnsi"/>
                          <w:color w:val="2F5496" w:themeColor="accent1" w:themeShade="BF"/>
                          <w:sz w:val="18"/>
                          <w:szCs w:val="18"/>
                        </w:rPr>
                        <w:t xml:space="preserve"> médecine Nancy - Addictologue- Président du réseau LORADDICT.</w:t>
                      </w:r>
                    </w:p>
                    <w:p w14:paraId="1BC14BC3" w14:textId="3B9A5CD4" w:rsidR="0069243D" w:rsidRPr="0084686B" w:rsidRDefault="0069243D" w:rsidP="0069243D">
                      <w:pPr>
                        <w:pStyle w:val="Paragraphedeliste"/>
                        <w:numPr>
                          <w:ilvl w:val="0"/>
                          <w:numId w:val="3"/>
                        </w:numPr>
                        <w:spacing w:after="0"/>
                        <w:contextualSpacing w:val="0"/>
                        <w:rPr>
                          <w:rFonts w:cstheme="minorHAnsi"/>
                          <w:color w:val="2F5496" w:themeColor="accent1" w:themeShade="BF"/>
                          <w:sz w:val="18"/>
                          <w:szCs w:val="18"/>
                        </w:rPr>
                      </w:pPr>
                      <w:r w:rsidRPr="0084686B">
                        <w:rPr>
                          <w:rFonts w:cstheme="minorHAnsi"/>
                          <w:b/>
                          <w:bCs/>
                          <w:color w:val="2F5496" w:themeColor="accent1" w:themeShade="BF"/>
                          <w:sz w:val="18"/>
                          <w:szCs w:val="18"/>
                        </w:rPr>
                        <w:t xml:space="preserve">Dr Rémi </w:t>
                      </w:r>
                      <w:proofErr w:type="spellStart"/>
                      <w:r w:rsidRPr="0084686B">
                        <w:rPr>
                          <w:rFonts w:cstheme="minorHAnsi"/>
                          <w:b/>
                          <w:bCs/>
                          <w:color w:val="2F5496" w:themeColor="accent1" w:themeShade="BF"/>
                          <w:sz w:val="18"/>
                          <w:szCs w:val="18"/>
                        </w:rPr>
                        <w:t>Vannobel</w:t>
                      </w:r>
                      <w:proofErr w:type="spellEnd"/>
                      <w:r w:rsidRPr="0084686B">
                        <w:rPr>
                          <w:rFonts w:cstheme="minorHAnsi"/>
                          <w:b/>
                          <w:bCs/>
                          <w:color w:val="2F5496" w:themeColor="accent1" w:themeShade="BF"/>
                          <w:sz w:val="18"/>
                          <w:szCs w:val="18"/>
                        </w:rPr>
                        <w:t xml:space="preserve"> (F),</w:t>
                      </w:r>
                      <w:r w:rsidRPr="0084686B">
                        <w:rPr>
                          <w:rFonts w:cstheme="minorHAnsi"/>
                          <w:color w:val="2F5496" w:themeColor="accent1" w:themeShade="BF"/>
                          <w:sz w:val="18"/>
                          <w:szCs w:val="18"/>
                        </w:rPr>
                        <w:t xml:space="preserve"> Médecin </w:t>
                      </w:r>
                      <w:r w:rsidR="009A750D" w:rsidRPr="0084686B">
                        <w:rPr>
                          <w:rFonts w:cstheme="minorHAnsi"/>
                          <w:color w:val="2F5496" w:themeColor="accent1" w:themeShade="BF"/>
                          <w:sz w:val="18"/>
                          <w:szCs w:val="18"/>
                        </w:rPr>
                        <w:t>généraliste ;</w:t>
                      </w:r>
                      <w:r w:rsidRPr="0084686B">
                        <w:rPr>
                          <w:rFonts w:cstheme="minorHAnsi"/>
                          <w:color w:val="2F5496" w:themeColor="accent1" w:themeShade="BF"/>
                          <w:sz w:val="18"/>
                          <w:szCs w:val="18"/>
                        </w:rPr>
                        <w:t xml:space="preserve"> addictologue. Président d'ADDICA. </w:t>
                      </w:r>
                    </w:p>
                  </w:txbxContent>
                </v:textbox>
                <w10:wrap type="square" anchorx="page"/>
              </v:shape>
            </w:pict>
          </mc:Fallback>
        </mc:AlternateContent>
      </w:r>
      <w:r w:rsidR="00B01B67" w:rsidRPr="00B01B67">
        <w:rPr>
          <w:rFonts w:cstheme="minorHAnsi"/>
          <w:lang w:val="fr-FR"/>
        </w:rPr>
        <w:t xml:space="preserve"> SATRAQ souhaite favoriser une prise de conscience et représenter une opportunité de changement pour une meilleure santé pour tous. SATRAQ veut épauler dans le changement ce</w:t>
      </w:r>
      <w:r w:rsidR="009A750D">
        <w:rPr>
          <w:rFonts w:cstheme="minorHAnsi"/>
          <w:lang w:val="fr-FR"/>
        </w:rPr>
        <w:t>lles</w:t>
      </w:r>
      <w:r w:rsidR="00B01B67" w:rsidRPr="00B01B67">
        <w:rPr>
          <w:rFonts w:cstheme="minorHAnsi"/>
          <w:lang w:val="fr-FR"/>
        </w:rPr>
        <w:t xml:space="preserve"> et ce</w:t>
      </w:r>
      <w:r w:rsidR="009A750D">
        <w:rPr>
          <w:rFonts w:cstheme="minorHAnsi"/>
          <w:lang w:val="fr-FR"/>
        </w:rPr>
        <w:t>ux</w:t>
      </w:r>
      <w:r w:rsidR="00B01B67" w:rsidRPr="00B01B67">
        <w:rPr>
          <w:rFonts w:cstheme="minorHAnsi"/>
          <w:lang w:val="fr-FR"/>
        </w:rPr>
        <w:t xml:space="preserve"> </w:t>
      </w:r>
      <w:r w:rsidR="009A750D">
        <w:rPr>
          <w:rFonts w:cstheme="minorHAnsi"/>
          <w:lang w:val="fr-FR"/>
        </w:rPr>
        <w:t xml:space="preserve">pour </w:t>
      </w:r>
      <w:r w:rsidR="00B01B67" w:rsidRPr="00B01B67">
        <w:rPr>
          <w:rFonts w:cstheme="minorHAnsi"/>
          <w:lang w:val="fr-FR"/>
        </w:rPr>
        <w:t xml:space="preserve">qui l’alcool prend de plus en </w:t>
      </w:r>
      <w:r w:rsidR="00B01B67" w:rsidRPr="00B01B67">
        <w:rPr>
          <w:i/>
          <w:iCs/>
        </w:rPr>
        <w:t>plus de place au quotidien.</w:t>
      </w:r>
    </w:p>
    <w:p w14:paraId="3ED3E55E" w14:textId="4FDF6986" w:rsidR="00B01B67" w:rsidRPr="00B01B67" w:rsidRDefault="00B01B67" w:rsidP="00855FF5">
      <w:pPr>
        <w:pStyle w:val="Titre2"/>
      </w:pPr>
      <w:r w:rsidRPr="00B01B67">
        <w:t xml:space="preserve">SATRAQ en Actions </w:t>
      </w:r>
    </w:p>
    <w:p w14:paraId="621322DC" w14:textId="03A56224" w:rsidR="00B01B67" w:rsidRPr="00B01B67" w:rsidRDefault="00B01B67" w:rsidP="00A84258">
      <w:pPr>
        <w:tabs>
          <w:tab w:val="left" w:pos="9072"/>
        </w:tabs>
        <w:spacing w:after="0"/>
        <w:rPr>
          <w:rFonts w:cstheme="minorHAnsi"/>
          <w:lang w:val="fr-FR"/>
        </w:rPr>
      </w:pPr>
      <w:r w:rsidRPr="00B01B67">
        <w:rPr>
          <w:rFonts w:cstheme="minorHAnsi"/>
          <w:lang w:val="fr-FR"/>
        </w:rPr>
        <w:t xml:space="preserve">Ce projet s’adresse à tous les publics, aux entreprises, aux collectivités locales (communes, mairies, provinces, départements), aux professionnels de la santé et du social, aux politiques… </w:t>
      </w:r>
    </w:p>
    <w:p w14:paraId="44A903CC" w14:textId="77777777" w:rsidR="00976BF4" w:rsidRDefault="00976BF4" w:rsidP="00A84258">
      <w:pPr>
        <w:tabs>
          <w:tab w:val="left" w:pos="9072"/>
        </w:tabs>
        <w:spacing w:after="0"/>
        <w:rPr>
          <w:rFonts w:cstheme="minorHAnsi"/>
          <w:lang w:val="fr-FR"/>
        </w:rPr>
      </w:pPr>
    </w:p>
    <w:p w14:paraId="132D385A" w14:textId="5D0FA387" w:rsidR="00B01B67" w:rsidRDefault="00B01B67" w:rsidP="00A84258">
      <w:pPr>
        <w:tabs>
          <w:tab w:val="left" w:pos="9072"/>
        </w:tabs>
        <w:spacing w:after="0"/>
        <w:rPr>
          <w:rFonts w:cstheme="minorHAnsi"/>
          <w:lang w:val="fr-FR"/>
        </w:rPr>
      </w:pPr>
      <w:r w:rsidRPr="00B01B67">
        <w:rPr>
          <w:rFonts w:cstheme="minorHAnsi"/>
          <w:lang w:val="fr-FR"/>
        </w:rPr>
        <w:t>Seront ainsi proposés à travers différents modules et activités :</w:t>
      </w:r>
    </w:p>
    <w:p w14:paraId="3C014A62" w14:textId="77777777" w:rsidR="009A750D" w:rsidRPr="00B01B67" w:rsidRDefault="009A750D" w:rsidP="00A84258">
      <w:pPr>
        <w:tabs>
          <w:tab w:val="left" w:pos="9072"/>
        </w:tabs>
        <w:spacing w:after="0"/>
        <w:rPr>
          <w:rFonts w:cstheme="minorHAnsi"/>
          <w:lang w:val="fr-FR"/>
        </w:rPr>
      </w:pPr>
    </w:p>
    <w:p w14:paraId="48D793C9" w14:textId="70352391" w:rsidR="00B01B67" w:rsidRDefault="00B01B67" w:rsidP="00623300">
      <w:pPr>
        <w:numPr>
          <w:ilvl w:val="0"/>
          <w:numId w:val="1"/>
        </w:numPr>
        <w:tabs>
          <w:tab w:val="left" w:pos="9072"/>
        </w:tabs>
        <w:ind w:left="284" w:hanging="284"/>
        <w:contextualSpacing/>
        <w:rPr>
          <w:rFonts w:cstheme="minorHAnsi"/>
          <w:lang w:val="fr-FR"/>
        </w:rPr>
      </w:pPr>
      <w:r w:rsidRPr="00B01B67">
        <w:rPr>
          <w:b/>
          <w:bCs/>
        </w:rPr>
        <w:t>Pour les professionnels de la santé et du social</w:t>
      </w:r>
      <w:r w:rsidRPr="00B01B67">
        <w:t xml:space="preserve"> : des actions de</w:t>
      </w:r>
      <w:r w:rsidRPr="00B01B67">
        <w:rPr>
          <w:rFonts w:cstheme="minorHAnsi"/>
          <w:lang w:val="fr-FR"/>
        </w:rPr>
        <w:t xml:space="preserve"> sensibilisation, de formation ; des supports, un climat médiatique (campagne) ; des échanges interprofessionnels (pharmaciens, spécialistes, médecine du travail…) ; des échanges d’expertises…</w:t>
      </w:r>
    </w:p>
    <w:p w14:paraId="41A25375" w14:textId="77777777" w:rsidR="00976BF4" w:rsidRPr="00B01B67" w:rsidRDefault="00976BF4" w:rsidP="00976BF4">
      <w:pPr>
        <w:tabs>
          <w:tab w:val="left" w:pos="9072"/>
        </w:tabs>
        <w:ind w:left="284"/>
        <w:contextualSpacing/>
        <w:rPr>
          <w:rFonts w:cstheme="minorHAnsi"/>
          <w:lang w:val="fr-FR"/>
        </w:rPr>
      </w:pPr>
    </w:p>
    <w:p w14:paraId="114D5D9D" w14:textId="1C997B6B" w:rsidR="00B01B67" w:rsidRDefault="00B01B67" w:rsidP="00623300">
      <w:pPr>
        <w:numPr>
          <w:ilvl w:val="0"/>
          <w:numId w:val="1"/>
        </w:numPr>
        <w:tabs>
          <w:tab w:val="left" w:pos="9072"/>
        </w:tabs>
        <w:ind w:left="284" w:hanging="284"/>
        <w:contextualSpacing/>
        <w:rPr>
          <w:b/>
          <w:bCs/>
        </w:rPr>
      </w:pPr>
      <w:r w:rsidRPr="00B01B67">
        <w:rPr>
          <w:b/>
          <w:bCs/>
        </w:rPr>
        <w:t xml:space="preserve">Pour les entreprises : </w:t>
      </w:r>
      <w:r w:rsidRPr="00B01B67">
        <w:t>des actions de sensibilisation ; des supports d’information</w:t>
      </w:r>
      <w:r w:rsidRPr="00B01B67">
        <w:rPr>
          <w:b/>
          <w:bCs/>
        </w:rPr>
        <w:t>…</w:t>
      </w:r>
    </w:p>
    <w:p w14:paraId="433E75EF" w14:textId="77777777" w:rsidR="00976BF4" w:rsidRDefault="00976BF4" w:rsidP="00976BF4">
      <w:pPr>
        <w:pStyle w:val="Paragraphedeliste"/>
        <w:spacing w:after="0"/>
        <w:rPr>
          <w:b/>
          <w:bCs/>
        </w:rPr>
      </w:pPr>
    </w:p>
    <w:p w14:paraId="600D1079" w14:textId="1D25E854" w:rsidR="00B01B67" w:rsidRDefault="00B01B67" w:rsidP="00623300">
      <w:pPr>
        <w:numPr>
          <w:ilvl w:val="0"/>
          <w:numId w:val="1"/>
        </w:numPr>
        <w:tabs>
          <w:tab w:val="left" w:pos="9072"/>
        </w:tabs>
        <w:ind w:left="284" w:hanging="284"/>
        <w:contextualSpacing/>
      </w:pPr>
      <w:r w:rsidRPr="00B01B67">
        <w:rPr>
          <w:b/>
          <w:bCs/>
        </w:rPr>
        <w:t xml:space="preserve">Pour le tout public : </w:t>
      </w:r>
      <w:r w:rsidRPr="00B01B67">
        <w:t>une campagne médiatique (2021) ; des outils d’auto-évaluation ; le soutien de professionnels formés à l’accompagnement de personnes en situation de mésusage …</w:t>
      </w:r>
    </w:p>
    <w:p w14:paraId="2CD8DCB6" w14:textId="77777777" w:rsidR="00976BF4" w:rsidRDefault="00976BF4" w:rsidP="00976BF4">
      <w:pPr>
        <w:pStyle w:val="Paragraphedeliste"/>
      </w:pPr>
    </w:p>
    <w:p w14:paraId="703DD3E3" w14:textId="4DABEFD1" w:rsidR="00B01B67" w:rsidRDefault="00B01B67" w:rsidP="00623300">
      <w:pPr>
        <w:numPr>
          <w:ilvl w:val="0"/>
          <w:numId w:val="1"/>
        </w:numPr>
        <w:tabs>
          <w:tab w:val="left" w:pos="9072"/>
        </w:tabs>
        <w:ind w:left="284" w:hanging="284"/>
        <w:contextualSpacing/>
      </w:pPr>
      <w:r w:rsidRPr="00B01B67">
        <w:rPr>
          <w:b/>
          <w:bCs/>
        </w:rPr>
        <w:t>Pour les communes, mairies, et les politiques </w:t>
      </w:r>
      <w:r w:rsidRPr="00B01B67">
        <w:t>: des données et recommandations d’actions pour améliorer la situation.</w:t>
      </w:r>
    </w:p>
    <w:bookmarkEnd w:id="1"/>
    <w:p w14:paraId="71B01FD7" w14:textId="77777777" w:rsidR="001A0563" w:rsidRDefault="001A0563" w:rsidP="00F238E0">
      <w:pPr>
        <w:keepNext/>
        <w:keepLines/>
        <w:spacing w:after="0" w:line="240" w:lineRule="auto"/>
        <w:outlineLvl w:val="1"/>
        <w:rPr>
          <w:rFonts w:asciiTheme="majorHAnsi" w:eastAsiaTheme="majorEastAsia" w:hAnsiTheme="majorHAnsi" w:cstheme="majorBidi"/>
          <w:color w:val="2F5496" w:themeColor="accent1" w:themeShade="BF"/>
        </w:rPr>
      </w:pPr>
    </w:p>
    <w:p w14:paraId="14A26580" w14:textId="77777777" w:rsidR="00DD49FF" w:rsidRDefault="00B01B67" w:rsidP="00DD49FF">
      <w:pPr>
        <w:pStyle w:val="Titre2"/>
      </w:pPr>
      <w:r w:rsidRPr="00B01B67">
        <w:t xml:space="preserve">Retrouvez plus d’infos </w:t>
      </w:r>
    </w:p>
    <w:p w14:paraId="24B7D864" w14:textId="768CDA5F" w:rsidR="00B01B67" w:rsidRPr="00B01B67" w:rsidRDefault="0069243D" w:rsidP="00DD49FF">
      <w:pPr>
        <w:pStyle w:val="Titre2"/>
      </w:pPr>
      <w:r w:rsidRPr="00DD49FF">
        <w:rPr>
          <w:rFonts w:asciiTheme="minorHAnsi" w:hAnsiTheme="minorHAnsi" w:cstheme="minorHAnsi"/>
        </w:rPr>
        <w:t xml:space="preserve"> </w:t>
      </w:r>
      <w:r w:rsidRPr="00DD49FF">
        <w:rPr>
          <w:rFonts w:asciiTheme="minorHAnsi" w:hAnsiTheme="minorHAnsi" w:cstheme="minorHAnsi"/>
          <w:color w:val="auto"/>
        </w:rPr>
        <w:t>Site</w:t>
      </w:r>
      <w:r w:rsidR="00B01B67" w:rsidRPr="00DD49FF">
        <w:rPr>
          <w:rFonts w:asciiTheme="minorHAnsi" w:hAnsiTheme="minorHAnsi" w:cstheme="minorHAnsi"/>
          <w:color w:val="auto"/>
        </w:rPr>
        <w:t xml:space="preserve"> internet</w:t>
      </w:r>
      <w:r w:rsidR="00B01B67" w:rsidRPr="00DD49FF">
        <w:rPr>
          <w:color w:val="auto"/>
        </w:rPr>
        <w:t xml:space="preserve"> </w:t>
      </w:r>
      <w:hyperlink r:id="rId15" w:history="1">
        <w:r w:rsidR="00B01B67" w:rsidRPr="00B01B67">
          <w:rPr>
            <w:color w:val="0563C1" w:themeColor="hyperlink"/>
            <w:u w:val="single"/>
          </w:rPr>
          <w:t>www.preventionsante.eu</w:t>
        </w:r>
      </w:hyperlink>
      <w:r w:rsidR="00B01B67" w:rsidRPr="00B01B67">
        <w:t xml:space="preserve"> </w:t>
      </w:r>
    </w:p>
    <w:p w14:paraId="6DB36038" w14:textId="7A722C39" w:rsidR="0069243D" w:rsidRPr="00F238E0" w:rsidRDefault="00B01B67" w:rsidP="00F238E0">
      <w:pPr>
        <w:spacing w:after="0" w:line="240" w:lineRule="auto"/>
        <w:rPr>
          <w:b/>
          <w:bCs/>
        </w:rPr>
      </w:pPr>
      <w:r w:rsidRPr="00B01B67">
        <w:t>CEP, Namur - Belgique, M.</w:t>
      </w:r>
      <w:r w:rsidR="000F17B1">
        <w:t xml:space="preserve"> M. </w:t>
      </w:r>
      <w:r w:rsidRPr="00B01B67">
        <w:t xml:space="preserve">Leurquin 0032 (0)496 13 44 57 </w:t>
      </w:r>
      <w:r w:rsidR="0069243D" w:rsidRPr="00F238E0">
        <w:t xml:space="preserve"> </w:t>
      </w:r>
    </w:p>
    <w:p w14:paraId="47AE73E1" w14:textId="69F3FF41" w:rsidR="00B01B67" w:rsidRDefault="00B01B67" w:rsidP="00F238E0">
      <w:pPr>
        <w:spacing w:after="0" w:line="240" w:lineRule="auto"/>
      </w:pPr>
      <w:r w:rsidRPr="00B01B67">
        <w:t>CES, Charleville – France, D. Krauss 0033 (0)3 10 43 90 54</w:t>
      </w:r>
    </w:p>
    <w:p w14:paraId="50944265" w14:textId="77777777" w:rsidR="001A0563" w:rsidRPr="00B01B67" w:rsidRDefault="001A0563" w:rsidP="00F238E0">
      <w:pPr>
        <w:spacing w:after="0" w:line="240" w:lineRule="auto"/>
        <w:rPr>
          <w:b/>
          <w:bCs/>
        </w:rPr>
      </w:pPr>
    </w:p>
    <w:sectPr w:rsidR="001A0563" w:rsidRPr="00B01B67" w:rsidSect="00623300">
      <w:pgSz w:w="11907" w:h="16840" w:code="9"/>
      <w:pgMar w:top="1417" w:right="1417" w:bottom="1417" w:left="1417" w:header="720" w:footer="0"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28DDC" w14:textId="77777777" w:rsidR="00A92E2F" w:rsidRDefault="00A92E2F" w:rsidP="00B01B67">
      <w:pPr>
        <w:spacing w:after="0" w:line="240" w:lineRule="auto"/>
      </w:pPr>
      <w:r>
        <w:separator/>
      </w:r>
    </w:p>
  </w:endnote>
  <w:endnote w:type="continuationSeparator" w:id="0">
    <w:p w14:paraId="734EA048" w14:textId="77777777" w:rsidR="00A92E2F" w:rsidRDefault="00A92E2F" w:rsidP="00B01B67">
      <w:pPr>
        <w:spacing w:after="0" w:line="240" w:lineRule="auto"/>
      </w:pPr>
      <w:r>
        <w:continuationSeparator/>
      </w:r>
    </w:p>
  </w:endnote>
  <w:endnote w:id="1">
    <w:p w14:paraId="42A4767F" w14:textId="77777777" w:rsidR="00F73F03" w:rsidRPr="0069243D" w:rsidRDefault="00F73F03" w:rsidP="00A84258">
      <w:pPr>
        <w:pStyle w:val="Notedefin"/>
        <w:ind w:right="-425"/>
        <w:rPr>
          <w:sz w:val="18"/>
          <w:szCs w:val="18"/>
        </w:rPr>
      </w:pPr>
      <w:r w:rsidRPr="0069243D">
        <w:rPr>
          <w:rStyle w:val="Appeldenotedefin"/>
          <w:sz w:val="18"/>
          <w:szCs w:val="18"/>
        </w:rPr>
        <w:endnoteRef/>
      </w:r>
      <w:r w:rsidRPr="0069243D">
        <w:rPr>
          <w:sz w:val="18"/>
          <w:szCs w:val="18"/>
        </w:rPr>
        <w:t xml:space="preserve"> OMS, </w:t>
      </w:r>
      <w:r w:rsidRPr="0069243D">
        <w:rPr>
          <w:i/>
          <w:sz w:val="18"/>
          <w:szCs w:val="18"/>
        </w:rPr>
        <w:t xml:space="preserve">World </w:t>
      </w:r>
      <w:proofErr w:type="spellStart"/>
      <w:r w:rsidRPr="0069243D">
        <w:rPr>
          <w:i/>
          <w:sz w:val="18"/>
          <w:szCs w:val="18"/>
        </w:rPr>
        <w:t>Health</w:t>
      </w:r>
      <w:proofErr w:type="spellEnd"/>
      <w:r w:rsidRPr="0069243D">
        <w:rPr>
          <w:i/>
          <w:sz w:val="18"/>
          <w:szCs w:val="18"/>
        </w:rPr>
        <w:t xml:space="preserve"> Organisation</w:t>
      </w:r>
      <w:r w:rsidRPr="0069243D">
        <w:rPr>
          <w:sz w:val="18"/>
          <w:szCs w:val="18"/>
        </w:rPr>
        <w:t xml:space="preserve">. Global </w:t>
      </w:r>
      <w:proofErr w:type="spellStart"/>
      <w:r w:rsidRPr="0069243D">
        <w:rPr>
          <w:sz w:val="18"/>
          <w:szCs w:val="18"/>
        </w:rPr>
        <w:t>status</w:t>
      </w:r>
      <w:proofErr w:type="spellEnd"/>
      <w:r w:rsidRPr="0069243D">
        <w:rPr>
          <w:sz w:val="18"/>
          <w:szCs w:val="18"/>
        </w:rPr>
        <w:t xml:space="preserve"> report on </w:t>
      </w:r>
      <w:proofErr w:type="spellStart"/>
      <w:r w:rsidRPr="0069243D">
        <w:rPr>
          <w:sz w:val="18"/>
          <w:szCs w:val="18"/>
        </w:rPr>
        <w:t>alcohol</w:t>
      </w:r>
      <w:proofErr w:type="spellEnd"/>
      <w:r w:rsidRPr="0069243D">
        <w:rPr>
          <w:sz w:val="18"/>
          <w:szCs w:val="18"/>
        </w:rPr>
        <w:t xml:space="preserve"> </w:t>
      </w:r>
      <w:proofErr w:type="spellStart"/>
      <w:r w:rsidRPr="0069243D">
        <w:rPr>
          <w:sz w:val="18"/>
          <w:szCs w:val="18"/>
        </w:rPr>
        <w:t>health</w:t>
      </w:r>
      <w:proofErr w:type="spellEnd"/>
      <w:r w:rsidRPr="0069243D">
        <w:rPr>
          <w:sz w:val="18"/>
          <w:szCs w:val="18"/>
        </w:rPr>
        <w:t xml:space="preserve"> 2018 et https://www.who.int/fr/news-room/detail/21-09-2018-harmful-use-of-alcohol-kills-more-than-3-million-people-each-year--most-of-them-men</w:t>
      </w:r>
    </w:p>
  </w:endnote>
  <w:endnote w:id="2">
    <w:p w14:paraId="3A62B08B" w14:textId="77777777" w:rsidR="00F73F03" w:rsidRPr="0069243D" w:rsidRDefault="00F73F03" w:rsidP="00A84258">
      <w:pPr>
        <w:pStyle w:val="Notedefin"/>
        <w:ind w:right="-425"/>
        <w:rPr>
          <w:sz w:val="18"/>
          <w:szCs w:val="18"/>
        </w:rPr>
      </w:pPr>
      <w:r w:rsidRPr="0069243D">
        <w:rPr>
          <w:rStyle w:val="Appeldenotedefin"/>
          <w:sz w:val="18"/>
          <w:szCs w:val="18"/>
        </w:rPr>
        <w:endnoteRef/>
      </w:r>
      <w:r w:rsidRPr="0069243D">
        <w:rPr>
          <w:sz w:val="18"/>
          <w:szCs w:val="18"/>
        </w:rPr>
        <w:t xml:space="preserve"> Validé https://www.who.int/features/qa/66/fr/</w:t>
      </w:r>
    </w:p>
  </w:endnote>
  <w:endnote w:id="3">
    <w:p w14:paraId="771B8621" w14:textId="77777777" w:rsidR="00F73F03" w:rsidRPr="0069243D" w:rsidRDefault="00F73F03" w:rsidP="00A84258">
      <w:pPr>
        <w:pStyle w:val="Notedefin"/>
        <w:ind w:right="-425"/>
        <w:rPr>
          <w:sz w:val="18"/>
          <w:szCs w:val="18"/>
        </w:rPr>
      </w:pPr>
      <w:r w:rsidRPr="0069243D">
        <w:rPr>
          <w:rStyle w:val="Appeldenotedefin"/>
          <w:sz w:val="18"/>
          <w:szCs w:val="18"/>
        </w:rPr>
        <w:endnoteRef/>
      </w:r>
      <w:r w:rsidRPr="0069243D">
        <w:rPr>
          <w:sz w:val="18"/>
          <w:szCs w:val="18"/>
        </w:rPr>
        <w:t xml:space="preserve"> </w:t>
      </w:r>
      <w:r w:rsidRPr="0069243D">
        <w:rPr>
          <w:rFonts w:eastAsia="Times New Roman"/>
          <w:sz w:val="18"/>
          <w:szCs w:val="18"/>
        </w:rPr>
        <w:t xml:space="preserve">Validé : </w:t>
      </w:r>
      <w:hyperlink r:id="rId1" w:history="1">
        <w:r w:rsidRPr="0069243D">
          <w:rPr>
            <w:rStyle w:val="Lienhypertexte"/>
            <w:rFonts w:eastAsia="Times New Roman"/>
            <w:sz w:val="18"/>
            <w:szCs w:val="18"/>
            <w:lang w:val="nl-BE"/>
          </w:rPr>
          <w:t>https://ec.europa.eu/health/alcohol/overview_fr</w:t>
        </w:r>
      </w:hyperlink>
    </w:p>
  </w:endnote>
  <w:endnote w:id="4">
    <w:p w14:paraId="1D0631BC" w14:textId="421ACF2A" w:rsidR="00F73F03" w:rsidRPr="00C90005" w:rsidRDefault="00F73F03" w:rsidP="00A84258">
      <w:pPr>
        <w:pStyle w:val="Notedefin"/>
        <w:ind w:right="-425"/>
        <w:rPr>
          <w:sz w:val="18"/>
          <w:szCs w:val="18"/>
        </w:rPr>
      </w:pPr>
      <w:r w:rsidRPr="0069243D">
        <w:rPr>
          <w:rStyle w:val="Appeldenotedefin"/>
          <w:sz w:val="18"/>
          <w:szCs w:val="18"/>
        </w:rPr>
        <w:endnoteRef/>
      </w:r>
      <w:r w:rsidRPr="0069243D">
        <w:rPr>
          <w:sz w:val="18"/>
          <w:szCs w:val="18"/>
        </w:rPr>
        <w:t xml:space="preserve"> Validé </w:t>
      </w:r>
      <w:hyperlink r:id="rId2" w:history="1">
        <w:r w:rsidRPr="0069243D">
          <w:rPr>
            <w:rStyle w:val="Lienhypertexte"/>
            <w:sz w:val="18"/>
            <w:szCs w:val="18"/>
          </w:rPr>
          <w:t>http://www.euro.who.int/fr/health-topics/disease-prevention/alcohol-use/publications/2019/status-report-on-alcohol-consumption,-harm-and-policy-responses-in-30-european-countries-2019</w:t>
        </w:r>
      </w:hyperlink>
      <w:r w:rsidR="001A0563" w:rsidRPr="001A0563">
        <w:rPr>
          <w:b/>
          <w:b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9953F" w14:textId="77777777" w:rsidR="00A92E2F" w:rsidRDefault="00A92E2F" w:rsidP="00B01B67">
      <w:pPr>
        <w:spacing w:after="0" w:line="240" w:lineRule="auto"/>
      </w:pPr>
      <w:r>
        <w:separator/>
      </w:r>
    </w:p>
  </w:footnote>
  <w:footnote w:type="continuationSeparator" w:id="0">
    <w:p w14:paraId="31B57432" w14:textId="77777777" w:rsidR="00A92E2F" w:rsidRDefault="00A92E2F" w:rsidP="00B01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4E1A"/>
    <w:multiLevelType w:val="hybridMultilevel"/>
    <w:tmpl w:val="E17604C4"/>
    <w:lvl w:ilvl="0" w:tplc="6ADA91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45D30228"/>
    <w:multiLevelType w:val="hybridMultilevel"/>
    <w:tmpl w:val="B526047C"/>
    <w:lvl w:ilvl="0" w:tplc="6ADA916E">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1610013"/>
    <w:multiLevelType w:val="hybridMultilevel"/>
    <w:tmpl w:val="138A1CB8"/>
    <w:lvl w:ilvl="0" w:tplc="6ADA91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1EE4020"/>
    <w:multiLevelType w:val="hybridMultilevel"/>
    <w:tmpl w:val="B47A1F52"/>
    <w:lvl w:ilvl="0" w:tplc="6ADA916E">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67"/>
    <w:rsid w:val="00033BE7"/>
    <w:rsid w:val="000F17B1"/>
    <w:rsid w:val="00160D3B"/>
    <w:rsid w:val="001A0563"/>
    <w:rsid w:val="003379AE"/>
    <w:rsid w:val="00427804"/>
    <w:rsid w:val="005866E2"/>
    <w:rsid w:val="005D5145"/>
    <w:rsid w:val="00610F75"/>
    <w:rsid w:val="00623300"/>
    <w:rsid w:val="0069243D"/>
    <w:rsid w:val="007B19EE"/>
    <w:rsid w:val="00801ACD"/>
    <w:rsid w:val="0084686B"/>
    <w:rsid w:val="00855FF5"/>
    <w:rsid w:val="00976BF4"/>
    <w:rsid w:val="009A750D"/>
    <w:rsid w:val="00A069DB"/>
    <w:rsid w:val="00A84258"/>
    <w:rsid w:val="00A92E2F"/>
    <w:rsid w:val="00B01B67"/>
    <w:rsid w:val="00B314FF"/>
    <w:rsid w:val="00BD60F2"/>
    <w:rsid w:val="00D350E3"/>
    <w:rsid w:val="00DA546D"/>
    <w:rsid w:val="00DD49FF"/>
    <w:rsid w:val="00E031EC"/>
    <w:rsid w:val="00EA6052"/>
    <w:rsid w:val="00EF6443"/>
    <w:rsid w:val="00F238E0"/>
    <w:rsid w:val="00F400A8"/>
    <w:rsid w:val="00F71DF4"/>
    <w:rsid w:val="00F73F03"/>
    <w:rsid w:val="00FC0B94"/>
    <w:rsid w:val="00FE69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F5"/>
    <w:rPr>
      <w:sz w:val="20"/>
      <w:lang w:val="fr-BE"/>
    </w:rPr>
  </w:style>
  <w:style w:type="paragraph" w:styleId="Titre1">
    <w:name w:val="heading 1"/>
    <w:basedOn w:val="Normal"/>
    <w:next w:val="Normal"/>
    <w:link w:val="Titre1Car"/>
    <w:uiPriority w:val="9"/>
    <w:qFormat/>
    <w:rsid w:val="00F73F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55FF5"/>
    <w:pPr>
      <w:keepNext/>
      <w:keepLines/>
      <w:tabs>
        <w:tab w:val="left" w:pos="9072"/>
      </w:tabs>
      <w:spacing w:before="120" w:after="0" w:line="360"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1B67"/>
    <w:rPr>
      <w:color w:val="0563C1" w:themeColor="hyperlink"/>
      <w:u w:val="single"/>
    </w:rPr>
  </w:style>
  <w:style w:type="paragraph" w:styleId="Notedefin">
    <w:name w:val="endnote text"/>
    <w:basedOn w:val="Normal"/>
    <w:link w:val="NotedefinCar"/>
    <w:uiPriority w:val="99"/>
    <w:semiHidden/>
    <w:unhideWhenUsed/>
    <w:rsid w:val="00B01B67"/>
    <w:pPr>
      <w:spacing w:after="0" w:line="240" w:lineRule="auto"/>
    </w:pPr>
    <w:rPr>
      <w:szCs w:val="20"/>
    </w:rPr>
  </w:style>
  <w:style w:type="character" w:customStyle="1" w:styleId="NotedefinCar">
    <w:name w:val="Note de fin Car"/>
    <w:basedOn w:val="Policepardfaut"/>
    <w:link w:val="Notedefin"/>
    <w:uiPriority w:val="99"/>
    <w:semiHidden/>
    <w:rsid w:val="00B01B67"/>
    <w:rPr>
      <w:sz w:val="20"/>
      <w:szCs w:val="20"/>
      <w:lang w:val="fr-BE"/>
    </w:rPr>
  </w:style>
  <w:style w:type="character" w:styleId="Appeldenotedefin">
    <w:name w:val="endnote reference"/>
    <w:basedOn w:val="Policepardfaut"/>
    <w:uiPriority w:val="99"/>
    <w:semiHidden/>
    <w:unhideWhenUsed/>
    <w:rsid w:val="00B01B67"/>
    <w:rPr>
      <w:vertAlign w:val="superscript"/>
    </w:rPr>
  </w:style>
  <w:style w:type="character" w:customStyle="1" w:styleId="Titre1Car">
    <w:name w:val="Titre 1 Car"/>
    <w:basedOn w:val="Policepardfaut"/>
    <w:link w:val="Titre1"/>
    <w:uiPriority w:val="9"/>
    <w:rsid w:val="00F73F03"/>
    <w:rPr>
      <w:rFonts w:asciiTheme="majorHAnsi" w:eastAsiaTheme="majorEastAsia" w:hAnsiTheme="majorHAnsi" w:cstheme="majorBidi"/>
      <w:color w:val="2F5496" w:themeColor="accent1" w:themeShade="BF"/>
      <w:sz w:val="32"/>
      <w:szCs w:val="32"/>
      <w:lang w:val="fr-BE"/>
    </w:rPr>
  </w:style>
  <w:style w:type="paragraph" w:styleId="Paragraphedeliste">
    <w:name w:val="List Paragraph"/>
    <w:basedOn w:val="Normal"/>
    <w:uiPriority w:val="34"/>
    <w:qFormat/>
    <w:rsid w:val="0069243D"/>
    <w:pPr>
      <w:ind w:left="720"/>
      <w:contextualSpacing/>
    </w:pPr>
  </w:style>
  <w:style w:type="table" w:styleId="Grilledutableau">
    <w:name w:val="Table Grid"/>
    <w:basedOn w:val="TableauNormal"/>
    <w:uiPriority w:val="39"/>
    <w:rsid w:val="00A8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3300"/>
    <w:pPr>
      <w:tabs>
        <w:tab w:val="center" w:pos="4536"/>
        <w:tab w:val="right" w:pos="9072"/>
      </w:tabs>
      <w:spacing w:after="0" w:line="240" w:lineRule="auto"/>
    </w:pPr>
  </w:style>
  <w:style w:type="character" w:customStyle="1" w:styleId="En-tteCar">
    <w:name w:val="En-tête Car"/>
    <w:basedOn w:val="Policepardfaut"/>
    <w:link w:val="En-tte"/>
    <w:uiPriority w:val="99"/>
    <w:rsid w:val="00623300"/>
    <w:rPr>
      <w:lang w:val="fr-BE"/>
    </w:rPr>
  </w:style>
  <w:style w:type="paragraph" w:styleId="Pieddepage">
    <w:name w:val="footer"/>
    <w:basedOn w:val="Normal"/>
    <w:link w:val="PieddepageCar"/>
    <w:uiPriority w:val="99"/>
    <w:unhideWhenUsed/>
    <w:rsid w:val="006233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300"/>
    <w:rPr>
      <w:lang w:val="fr-BE"/>
    </w:rPr>
  </w:style>
  <w:style w:type="character" w:customStyle="1" w:styleId="Titre2Car">
    <w:name w:val="Titre 2 Car"/>
    <w:basedOn w:val="Policepardfaut"/>
    <w:link w:val="Titre2"/>
    <w:uiPriority w:val="9"/>
    <w:rsid w:val="00855FF5"/>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801A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ACD"/>
    <w:rPr>
      <w:rFonts w:ascii="Tahoma" w:hAnsi="Tahoma" w:cs="Tahoma"/>
      <w:sz w:val="16"/>
      <w:szCs w:val="16"/>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FF5"/>
    <w:rPr>
      <w:sz w:val="20"/>
      <w:lang w:val="fr-BE"/>
    </w:rPr>
  </w:style>
  <w:style w:type="paragraph" w:styleId="Titre1">
    <w:name w:val="heading 1"/>
    <w:basedOn w:val="Normal"/>
    <w:next w:val="Normal"/>
    <w:link w:val="Titre1Car"/>
    <w:uiPriority w:val="9"/>
    <w:qFormat/>
    <w:rsid w:val="00F73F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55FF5"/>
    <w:pPr>
      <w:keepNext/>
      <w:keepLines/>
      <w:tabs>
        <w:tab w:val="left" w:pos="9072"/>
      </w:tabs>
      <w:spacing w:before="120" w:after="0" w:line="360"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01B67"/>
    <w:rPr>
      <w:color w:val="0563C1" w:themeColor="hyperlink"/>
      <w:u w:val="single"/>
    </w:rPr>
  </w:style>
  <w:style w:type="paragraph" w:styleId="Notedefin">
    <w:name w:val="endnote text"/>
    <w:basedOn w:val="Normal"/>
    <w:link w:val="NotedefinCar"/>
    <w:uiPriority w:val="99"/>
    <w:semiHidden/>
    <w:unhideWhenUsed/>
    <w:rsid w:val="00B01B67"/>
    <w:pPr>
      <w:spacing w:after="0" w:line="240" w:lineRule="auto"/>
    </w:pPr>
    <w:rPr>
      <w:szCs w:val="20"/>
    </w:rPr>
  </w:style>
  <w:style w:type="character" w:customStyle="1" w:styleId="NotedefinCar">
    <w:name w:val="Note de fin Car"/>
    <w:basedOn w:val="Policepardfaut"/>
    <w:link w:val="Notedefin"/>
    <w:uiPriority w:val="99"/>
    <w:semiHidden/>
    <w:rsid w:val="00B01B67"/>
    <w:rPr>
      <w:sz w:val="20"/>
      <w:szCs w:val="20"/>
      <w:lang w:val="fr-BE"/>
    </w:rPr>
  </w:style>
  <w:style w:type="character" w:styleId="Appeldenotedefin">
    <w:name w:val="endnote reference"/>
    <w:basedOn w:val="Policepardfaut"/>
    <w:uiPriority w:val="99"/>
    <w:semiHidden/>
    <w:unhideWhenUsed/>
    <w:rsid w:val="00B01B67"/>
    <w:rPr>
      <w:vertAlign w:val="superscript"/>
    </w:rPr>
  </w:style>
  <w:style w:type="character" w:customStyle="1" w:styleId="Titre1Car">
    <w:name w:val="Titre 1 Car"/>
    <w:basedOn w:val="Policepardfaut"/>
    <w:link w:val="Titre1"/>
    <w:uiPriority w:val="9"/>
    <w:rsid w:val="00F73F03"/>
    <w:rPr>
      <w:rFonts w:asciiTheme="majorHAnsi" w:eastAsiaTheme="majorEastAsia" w:hAnsiTheme="majorHAnsi" w:cstheme="majorBidi"/>
      <w:color w:val="2F5496" w:themeColor="accent1" w:themeShade="BF"/>
      <w:sz w:val="32"/>
      <w:szCs w:val="32"/>
      <w:lang w:val="fr-BE"/>
    </w:rPr>
  </w:style>
  <w:style w:type="paragraph" w:styleId="Paragraphedeliste">
    <w:name w:val="List Paragraph"/>
    <w:basedOn w:val="Normal"/>
    <w:uiPriority w:val="34"/>
    <w:qFormat/>
    <w:rsid w:val="0069243D"/>
    <w:pPr>
      <w:ind w:left="720"/>
      <w:contextualSpacing/>
    </w:pPr>
  </w:style>
  <w:style w:type="table" w:styleId="Grilledutableau">
    <w:name w:val="Table Grid"/>
    <w:basedOn w:val="TableauNormal"/>
    <w:uiPriority w:val="39"/>
    <w:rsid w:val="00A84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23300"/>
    <w:pPr>
      <w:tabs>
        <w:tab w:val="center" w:pos="4536"/>
        <w:tab w:val="right" w:pos="9072"/>
      </w:tabs>
      <w:spacing w:after="0" w:line="240" w:lineRule="auto"/>
    </w:pPr>
  </w:style>
  <w:style w:type="character" w:customStyle="1" w:styleId="En-tteCar">
    <w:name w:val="En-tête Car"/>
    <w:basedOn w:val="Policepardfaut"/>
    <w:link w:val="En-tte"/>
    <w:uiPriority w:val="99"/>
    <w:rsid w:val="00623300"/>
    <w:rPr>
      <w:lang w:val="fr-BE"/>
    </w:rPr>
  </w:style>
  <w:style w:type="paragraph" w:styleId="Pieddepage">
    <w:name w:val="footer"/>
    <w:basedOn w:val="Normal"/>
    <w:link w:val="PieddepageCar"/>
    <w:uiPriority w:val="99"/>
    <w:unhideWhenUsed/>
    <w:rsid w:val="006233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300"/>
    <w:rPr>
      <w:lang w:val="fr-BE"/>
    </w:rPr>
  </w:style>
  <w:style w:type="character" w:customStyle="1" w:styleId="Titre2Car">
    <w:name w:val="Titre 2 Car"/>
    <w:basedOn w:val="Policepardfaut"/>
    <w:link w:val="Titre2"/>
    <w:uiPriority w:val="9"/>
    <w:rsid w:val="00855FF5"/>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801A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ACD"/>
    <w:rPr>
      <w:rFonts w:ascii="Tahoma" w:hAnsi="Tahoma" w:cs="Tahoma"/>
      <w:sz w:val="16"/>
      <w:szCs w:val="16"/>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ducationdupatient.be/" TargetMode="External"/><Relationship Id="rId5" Type="http://schemas.openxmlformats.org/officeDocument/2006/relationships/webSettings" Target="webSettings.xml"/><Relationship Id="rId15" Type="http://schemas.openxmlformats.org/officeDocument/2006/relationships/hyperlink" Target="http://www.preventionsante.eu"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endnotes.xml.rels><?xml version="1.0" encoding="UTF-8" standalone="yes"?>
<Relationships xmlns="http://schemas.openxmlformats.org/package/2006/relationships"><Relationship Id="rId2" Type="http://schemas.openxmlformats.org/officeDocument/2006/relationships/hyperlink" Target="http://www.euro.who.int/fr/health-topics/disease-prevention/alcohol-use/publications/2019/status-report-on-alcohol-consumption,-harm-and-policy-responses-in-30-european-countries-2019" TargetMode="External"/><Relationship Id="rId1" Type="http://schemas.openxmlformats.org/officeDocument/2006/relationships/hyperlink" Target="https://ec.europa.eu/health/alcohol/overview_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3658</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Mady Leurquin</dc:creator>
  <cp:lastModifiedBy>Stéphanie VINCENT</cp:lastModifiedBy>
  <cp:revision>2</cp:revision>
  <cp:lastPrinted>2020-06-03T10:06:00Z</cp:lastPrinted>
  <dcterms:created xsi:type="dcterms:W3CDTF">2020-06-15T11:36:00Z</dcterms:created>
  <dcterms:modified xsi:type="dcterms:W3CDTF">2020-06-15T11:36:00Z</dcterms:modified>
</cp:coreProperties>
</file>