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3682B" w14:textId="77777777" w:rsidR="006904DF" w:rsidRDefault="006904DF"/>
    <w:p w14:paraId="2FDAB552" w14:textId="40542A0E" w:rsidR="00430EC6" w:rsidRPr="00B978F6" w:rsidRDefault="00B826D9">
      <w:r w:rsidRPr="00B978F6">
        <w:rPr>
          <w:noProof/>
        </w:rPr>
        <mc:AlternateContent>
          <mc:Choice Requires="wps">
            <w:drawing>
              <wp:anchor distT="0" distB="0" distL="114300" distR="114300" simplePos="0" relativeHeight="251662336" behindDoc="0" locked="0" layoutInCell="1" allowOverlap="1" wp14:anchorId="42DCBE5D" wp14:editId="60E62BD8">
                <wp:simplePos x="0" y="0"/>
                <wp:positionH relativeFrom="column">
                  <wp:posOffset>-194945</wp:posOffset>
                </wp:positionH>
                <wp:positionV relativeFrom="paragraph">
                  <wp:posOffset>3438525</wp:posOffset>
                </wp:positionV>
                <wp:extent cx="6130925" cy="24003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925"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6B16F" w14:textId="6C9650B1" w:rsidR="007770D4" w:rsidRPr="00CF08E2" w:rsidRDefault="007770D4" w:rsidP="00614985">
                            <w:pPr>
                              <w:jc w:val="both"/>
                              <w:rPr>
                                <w:rFonts w:ascii="Arial" w:hAnsi="Arial" w:cs="Arial"/>
                                <w:b/>
                                <w:color w:val="FFFFFF" w:themeColor="background1"/>
                                <w:sz w:val="48"/>
                                <w:szCs w:val="48"/>
                              </w:rPr>
                            </w:pPr>
                            <w:r>
                              <w:rPr>
                                <w:rFonts w:ascii="Arial" w:hAnsi="Arial" w:cs="Arial"/>
                                <w:b/>
                                <w:color w:val="FFFFFF" w:themeColor="background1"/>
                                <w:sz w:val="48"/>
                                <w:szCs w:val="48"/>
                              </w:rPr>
                              <w:t>Création d’une Unité d’Hébergement Renforcée (UHR) dans le département des Ardennes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CBE5D" id="_x0000_t202" coordsize="21600,21600" o:spt="202" path="m,l,21600r21600,l21600,xe">
                <v:stroke joinstyle="miter"/>
                <v:path gradientshapeok="t" o:connecttype="rect"/>
              </v:shapetype>
              <v:shape id="Text Box 6" o:spid="_x0000_s1026" type="#_x0000_t202" style="position:absolute;margin-left:-15.35pt;margin-top:270.75pt;width:482.75pt;height:1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hBQtwIAALo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" filled="f" stroked="f">
                <v:textbox>
                  <w:txbxContent>
                    <w:p w14:paraId="1496B16F" w14:textId="6C9650B1" w:rsidR="007770D4" w:rsidRPr="00CF08E2" w:rsidRDefault="007770D4" w:rsidP="00614985">
                      <w:pPr>
                        <w:jc w:val="both"/>
                        <w:rPr>
                          <w:rFonts w:ascii="Arial" w:hAnsi="Arial" w:cs="Arial"/>
                          <w:b/>
                          <w:color w:val="FFFFFF" w:themeColor="background1"/>
                          <w:sz w:val="48"/>
                          <w:szCs w:val="48"/>
                        </w:rPr>
                      </w:pPr>
                      <w:r>
                        <w:rPr>
                          <w:rFonts w:ascii="Arial" w:hAnsi="Arial" w:cs="Arial"/>
                          <w:b/>
                          <w:color w:val="FFFFFF" w:themeColor="background1"/>
                          <w:sz w:val="48"/>
                          <w:szCs w:val="48"/>
                        </w:rPr>
                        <w:t>Création d’une Unité d’Hébergement Renforcée (UHR) dans le département des Ardennes</w:t>
                      </w:r>
                    </w:p>
                  </w:txbxContent>
                </v:textbox>
              </v:shape>
            </w:pict>
          </mc:Fallback>
        </mc:AlternateContent>
      </w:r>
      <w:r w:rsidR="009E0E2C" w:rsidRPr="00B978F6">
        <w:rPr>
          <w:noProof/>
        </w:rPr>
        <mc:AlternateContent>
          <mc:Choice Requires="wps">
            <w:drawing>
              <wp:anchor distT="0" distB="0" distL="114300" distR="114300" simplePos="0" relativeHeight="251661312" behindDoc="0" locked="0" layoutInCell="1" allowOverlap="1" wp14:anchorId="3EE737FF" wp14:editId="1E020ACD">
                <wp:simplePos x="0" y="0"/>
                <wp:positionH relativeFrom="page">
                  <wp:align>left</wp:align>
                </wp:positionH>
                <wp:positionV relativeFrom="paragraph">
                  <wp:posOffset>8953647</wp:posOffset>
                </wp:positionV>
                <wp:extent cx="7533249" cy="41973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249"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30774" w14:textId="77777777" w:rsidR="007770D4" w:rsidRPr="00375DD5" w:rsidRDefault="007770D4" w:rsidP="00295C59">
                            <w:pPr>
                              <w:jc w:val="center"/>
                              <w:rPr>
                                <w:rFonts w:ascii="Arial" w:hAnsi="Arial" w:cs="Arial"/>
                                <w:b/>
                                <w:sz w:val="24"/>
                                <w:szCs w:val="28"/>
                              </w:rPr>
                            </w:pPr>
                            <w:r>
                              <w:rPr>
                                <w:rFonts w:ascii="Arial" w:hAnsi="Arial" w:cs="Arial"/>
                                <w:b/>
                                <w:sz w:val="24"/>
                                <w:szCs w:val="28"/>
                              </w:rPr>
                              <w:t>Direction de l’Autonomie – Département Parcours Personnes Âgées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E737FF" id="Text Box 4" o:spid="_x0000_s1027" type="#_x0000_t202" style="position:absolute;margin-left:0;margin-top:705pt;width:593.15pt;height:33.05pt;z-index:251661312;visibility:visible;mso-wrap-style:square;mso-width-percent:0;mso-height-percent:200;mso-wrap-distance-left:9pt;mso-wrap-distance-top:0;mso-wrap-distance-right:9pt;mso-wrap-distance-bottom:0;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mjptwIAAMA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" filled="f" stroked="f">
                <v:textbox style="mso-fit-shape-to-text:t">
                  <w:txbxContent>
                    <w:p w14:paraId="3D430774" w14:textId="77777777" w:rsidR="007770D4" w:rsidRPr="00375DD5" w:rsidRDefault="007770D4" w:rsidP="00295C59">
                      <w:pPr>
                        <w:jc w:val="center"/>
                        <w:rPr>
                          <w:rFonts w:ascii="Arial" w:hAnsi="Arial" w:cs="Arial"/>
                          <w:b/>
                          <w:sz w:val="24"/>
                          <w:szCs w:val="28"/>
                        </w:rPr>
                      </w:pPr>
                      <w:r>
                        <w:rPr>
                          <w:rFonts w:ascii="Arial" w:hAnsi="Arial" w:cs="Arial"/>
                          <w:b/>
                          <w:sz w:val="24"/>
                          <w:szCs w:val="28"/>
                        </w:rPr>
                        <w:t>Direction de l’Autonomie – Département Parcours Personnes Âgées</w:t>
                      </w:r>
                    </w:p>
                  </w:txbxContent>
                </v:textbox>
                <w10:wrap anchorx="page"/>
              </v:shape>
            </w:pict>
          </mc:Fallback>
        </mc:AlternateContent>
      </w:r>
      <w:r w:rsidR="00295C59" w:rsidRPr="00B978F6">
        <w:rPr>
          <w:noProof/>
        </w:rPr>
        <w:drawing>
          <wp:anchor distT="0" distB="0" distL="114300" distR="114300" simplePos="0" relativeHeight="251667456" behindDoc="1" locked="0" layoutInCell="1" allowOverlap="1" wp14:anchorId="281BF57D" wp14:editId="53A579A0">
            <wp:simplePos x="0" y="0"/>
            <wp:positionH relativeFrom="column">
              <wp:posOffset>-868045</wp:posOffset>
            </wp:positionH>
            <wp:positionV relativeFrom="paragraph">
              <wp:posOffset>-20955</wp:posOffset>
            </wp:positionV>
            <wp:extent cx="7485380" cy="1059942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erture_DG.jpg"/>
                    <pic:cNvPicPr/>
                  </pic:nvPicPr>
                  <pic:blipFill>
                    <a:blip r:embed="rId8">
                      <a:extLst>
                        <a:ext uri="{28A0092B-C50C-407E-A947-70E740481C1C}">
                          <a14:useLocalDpi xmlns:a14="http://schemas.microsoft.com/office/drawing/2010/main" val="0"/>
                        </a:ext>
                      </a:extLst>
                    </a:blip>
                    <a:stretch>
                      <a:fillRect/>
                    </a:stretch>
                  </pic:blipFill>
                  <pic:spPr>
                    <a:xfrm>
                      <a:off x="0" y="0"/>
                      <a:ext cx="7485380" cy="10599420"/>
                    </a:xfrm>
                    <a:prstGeom prst="rect">
                      <a:avLst/>
                    </a:prstGeom>
                  </pic:spPr>
                </pic:pic>
              </a:graphicData>
            </a:graphic>
            <wp14:sizeRelH relativeFrom="page">
              <wp14:pctWidth>0</wp14:pctWidth>
            </wp14:sizeRelH>
            <wp14:sizeRelV relativeFrom="page">
              <wp14:pctHeight>0</wp14:pctHeight>
            </wp14:sizeRelV>
          </wp:anchor>
        </w:drawing>
      </w:r>
      <w:r w:rsidR="00111FD4" w:rsidRPr="00B978F6">
        <w:rPr>
          <w:noProof/>
        </w:rPr>
        <mc:AlternateContent>
          <mc:Choice Requires="wps">
            <w:drawing>
              <wp:anchor distT="0" distB="0" distL="114300" distR="114300" simplePos="0" relativeHeight="251659264" behindDoc="0" locked="0" layoutInCell="1" allowOverlap="1" wp14:anchorId="0E37D854" wp14:editId="0F72C2E5">
                <wp:simplePos x="0" y="0"/>
                <wp:positionH relativeFrom="column">
                  <wp:posOffset>3837940</wp:posOffset>
                </wp:positionH>
                <wp:positionV relativeFrom="paragraph">
                  <wp:posOffset>7908290</wp:posOffset>
                </wp:positionV>
                <wp:extent cx="711200" cy="300990"/>
                <wp:effectExtent l="3810" t="254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AF8F9" w14:textId="0E17C146" w:rsidR="007770D4" w:rsidRPr="00375DD5" w:rsidRDefault="007770D4" w:rsidP="00992E3F">
                            <w:pPr>
                              <w:jc w:val="center"/>
                              <w:rPr>
                                <w:rFonts w:ascii="Arial" w:hAnsi="Arial" w:cs="Arial"/>
                                <w:b/>
                                <w:color w:val="FFFFFF" w:themeColor="background1"/>
                                <w:sz w:val="18"/>
                                <w:szCs w:val="36"/>
                              </w:rPr>
                            </w:pPr>
                            <w:r>
                              <w:rPr>
                                <w:rFonts w:ascii="Arial" w:hAnsi="Arial" w:cs="Arial"/>
                                <w:b/>
                                <w:color w:val="FFFFFF" w:themeColor="background1"/>
                                <w:sz w:val="18"/>
                                <w:szCs w:val="36"/>
                              </w:rPr>
                              <w:t>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37D854" id="Text Box 2" o:spid="_x0000_s1028" type="#_x0000_t202" style="position:absolute;margin-left:302.2pt;margin-top:622.7pt;width:56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n/OuAIAAL8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" filled="f" stroked="f">
                <v:textbox>
                  <w:txbxContent>
                    <w:p w14:paraId="3A3AF8F9" w14:textId="0E17C146" w:rsidR="007770D4" w:rsidRPr="00375DD5" w:rsidRDefault="007770D4" w:rsidP="00992E3F">
                      <w:pPr>
                        <w:jc w:val="center"/>
                        <w:rPr>
                          <w:rFonts w:ascii="Arial" w:hAnsi="Arial" w:cs="Arial"/>
                          <w:b/>
                          <w:color w:val="FFFFFF" w:themeColor="background1"/>
                          <w:sz w:val="18"/>
                          <w:szCs w:val="36"/>
                        </w:rPr>
                      </w:pPr>
                      <w:r>
                        <w:rPr>
                          <w:rFonts w:ascii="Arial" w:hAnsi="Arial" w:cs="Arial"/>
                          <w:b/>
                          <w:color w:val="FFFFFF" w:themeColor="background1"/>
                          <w:sz w:val="18"/>
                          <w:szCs w:val="36"/>
                        </w:rPr>
                        <w:t>2023</w:t>
                      </w:r>
                    </w:p>
                  </w:txbxContent>
                </v:textbox>
              </v:shape>
            </w:pict>
          </mc:Fallback>
        </mc:AlternateContent>
      </w:r>
      <w:r w:rsidR="00111FD4" w:rsidRPr="00B978F6">
        <w:rPr>
          <w:noProof/>
        </w:rPr>
        <mc:AlternateContent>
          <mc:Choice Requires="wps">
            <w:drawing>
              <wp:anchor distT="0" distB="0" distL="114300" distR="114300" simplePos="0" relativeHeight="251660288" behindDoc="0" locked="0" layoutInCell="1" allowOverlap="1" wp14:anchorId="40AB7D65" wp14:editId="1684B762">
                <wp:simplePos x="0" y="0"/>
                <wp:positionH relativeFrom="column">
                  <wp:posOffset>1016000</wp:posOffset>
                </wp:positionH>
                <wp:positionV relativeFrom="paragraph">
                  <wp:posOffset>7395845</wp:posOffset>
                </wp:positionV>
                <wp:extent cx="3264535" cy="405130"/>
                <wp:effectExtent l="1270" t="4445" r="127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4535"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1C375" w14:textId="21BC1323" w:rsidR="007770D4" w:rsidRPr="00375DD5" w:rsidRDefault="007770D4" w:rsidP="00992E3F">
                            <w:pPr>
                              <w:jc w:val="center"/>
                              <w:rPr>
                                <w:rFonts w:ascii="Arial" w:hAnsi="Arial" w:cs="Arial"/>
                                <w:b/>
                                <w:sz w:val="36"/>
                                <w:szCs w:val="28"/>
                              </w:rPr>
                            </w:pPr>
                            <w:r>
                              <w:rPr>
                                <w:rFonts w:ascii="Arial" w:hAnsi="Arial" w:cs="Arial"/>
                                <w:b/>
                                <w:sz w:val="36"/>
                                <w:szCs w:val="28"/>
                              </w:rPr>
                              <w:t>APPEL À CANDIDATURES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B7D65" id="Text Box 3" o:spid="_x0000_s1029" type="#_x0000_t202" style="position:absolute;margin-left:80pt;margin-top:582.35pt;width:257.05pt;height:3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xmugIAAMA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" filled="f" stroked="f">
                <v:textbox>
                  <w:txbxContent>
                    <w:p w14:paraId="3631C375" w14:textId="21BC1323" w:rsidR="007770D4" w:rsidRPr="00375DD5" w:rsidRDefault="007770D4" w:rsidP="00992E3F">
                      <w:pPr>
                        <w:jc w:val="center"/>
                        <w:rPr>
                          <w:rFonts w:ascii="Arial" w:hAnsi="Arial" w:cs="Arial"/>
                          <w:b/>
                          <w:sz w:val="36"/>
                          <w:szCs w:val="28"/>
                        </w:rPr>
                      </w:pPr>
                      <w:r>
                        <w:rPr>
                          <w:rFonts w:ascii="Arial" w:hAnsi="Arial" w:cs="Arial"/>
                          <w:b/>
                          <w:sz w:val="36"/>
                          <w:szCs w:val="28"/>
                        </w:rPr>
                        <w:t>APPEL À CANDIDATURES</w:t>
                      </w:r>
                    </w:p>
                  </w:txbxContent>
                </v:textbox>
              </v:shape>
            </w:pict>
          </mc:Fallback>
        </mc:AlternateContent>
      </w:r>
      <w:r w:rsidR="00430EC6" w:rsidRPr="00B978F6">
        <w:br w:type="page"/>
      </w:r>
    </w:p>
    <w:p w14:paraId="746AD69D" w14:textId="77777777" w:rsidR="0047538B" w:rsidRPr="00B978F6" w:rsidRDefault="0047538B"/>
    <w:p w14:paraId="41B83E58" w14:textId="77777777" w:rsidR="008F7D70" w:rsidRPr="00B978F6" w:rsidRDefault="008F7D70"/>
    <w:sdt>
      <w:sdtPr>
        <w:rPr>
          <w:rFonts w:asciiTheme="minorHAnsi" w:eastAsiaTheme="minorEastAsia" w:hAnsiTheme="minorHAnsi" w:cstheme="minorBidi"/>
          <w:color w:val="auto"/>
          <w:sz w:val="22"/>
          <w:szCs w:val="22"/>
        </w:rPr>
        <w:id w:val="1935777438"/>
        <w:docPartObj>
          <w:docPartGallery w:val="Table of Contents"/>
          <w:docPartUnique/>
        </w:docPartObj>
      </w:sdtPr>
      <w:sdtEndPr>
        <w:rPr>
          <w:rFonts w:cs="Times New Roman"/>
          <w:b/>
          <w:bCs/>
        </w:rPr>
      </w:sdtEndPr>
      <w:sdtContent>
        <w:p w14:paraId="7FB924E3" w14:textId="10087E0F" w:rsidR="00C03DD7" w:rsidRPr="00B978F6" w:rsidRDefault="00C03DD7" w:rsidP="00F739E8">
          <w:pPr>
            <w:pStyle w:val="En-ttedetabledesmatires"/>
            <w:jc w:val="center"/>
          </w:pPr>
          <w:r w:rsidRPr="00B978F6">
            <w:t>Table des matières</w:t>
          </w:r>
        </w:p>
        <w:p w14:paraId="7FBF6D10" w14:textId="1F46F455" w:rsidR="00F739E8" w:rsidRPr="00B978F6" w:rsidRDefault="00F739E8" w:rsidP="00F739E8">
          <w:pPr>
            <w:rPr>
              <w:sz w:val="2"/>
            </w:rPr>
          </w:pPr>
        </w:p>
        <w:p w14:paraId="0B584D1B" w14:textId="63DE32FA" w:rsidR="00BE1FD6" w:rsidRDefault="00C03DD7">
          <w:pPr>
            <w:pStyle w:val="TM1"/>
            <w:tabs>
              <w:tab w:val="left" w:pos="440"/>
              <w:tab w:val="right" w:leader="dot" w:pos="9062"/>
            </w:tabs>
            <w:rPr>
              <w:noProof/>
            </w:rPr>
          </w:pPr>
          <w:r w:rsidRPr="00B978F6">
            <w:rPr>
              <w:b/>
              <w:bCs/>
            </w:rPr>
            <w:fldChar w:fldCharType="begin"/>
          </w:r>
          <w:r w:rsidRPr="00B978F6">
            <w:rPr>
              <w:b/>
              <w:bCs/>
            </w:rPr>
            <w:instrText xml:space="preserve"> TOC \o "1-3" \h \z \u </w:instrText>
          </w:r>
          <w:r w:rsidRPr="00B978F6">
            <w:rPr>
              <w:b/>
              <w:bCs/>
            </w:rPr>
            <w:fldChar w:fldCharType="separate"/>
          </w:r>
          <w:hyperlink w:anchor="_Toc103684700" w:history="1">
            <w:r w:rsidR="00BE1FD6" w:rsidRPr="00B279D6">
              <w:rPr>
                <w:rStyle w:val="Lienhypertexte"/>
                <w:noProof/>
              </w:rPr>
              <w:t>I.</w:t>
            </w:r>
            <w:r w:rsidR="00BE1FD6">
              <w:rPr>
                <w:noProof/>
              </w:rPr>
              <w:tab/>
            </w:r>
            <w:r w:rsidR="006B713C">
              <w:rPr>
                <w:noProof/>
              </w:rPr>
              <w:t>Textes de r</w:t>
            </w:r>
            <w:r w:rsidR="00255E41">
              <w:rPr>
                <w:rStyle w:val="Lienhypertexte"/>
                <w:noProof/>
              </w:rPr>
              <w:t>éférences</w:t>
            </w:r>
            <w:r w:rsidR="00BE1FD6">
              <w:rPr>
                <w:noProof/>
                <w:webHidden/>
              </w:rPr>
              <w:tab/>
            </w:r>
            <w:r w:rsidR="00BE1FD6">
              <w:rPr>
                <w:noProof/>
                <w:webHidden/>
              </w:rPr>
              <w:fldChar w:fldCharType="begin"/>
            </w:r>
            <w:r w:rsidR="00BE1FD6">
              <w:rPr>
                <w:noProof/>
                <w:webHidden/>
              </w:rPr>
              <w:instrText xml:space="preserve"> PAGEREF _Toc103684700 \h </w:instrText>
            </w:r>
            <w:r w:rsidR="00BE1FD6">
              <w:rPr>
                <w:noProof/>
                <w:webHidden/>
              </w:rPr>
            </w:r>
            <w:r w:rsidR="00BE1FD6">
              <w:rPr>
                <w:noProof/>
                <w:webHidden/>
              </w:rPr>
              <w:fldChar w:fldCharType="separate"/>
            </w:r>
            <w:r w:rsidR="008C1A88">
              <w:rPr>
                <w:noProof/>
                <w:webHidden/>
              </w:rPr>
              <w:t>3</w:t>
            </w:r>
            <w:r w:rsidR="00BE1FD6">
              <w:rPr>
                <w:noProof/>
                <w:webHidden/>
              </w:rPr>
              <w:fldChar w:fldCharType="end"/>
            </w:r>
          </w:hyperlink>
        </w:p>
        <w:p w14:paraId="0435D6B6" w14:textId="2F106217" w:rsidR="00085E96" w:rsidRDefault="00085E96" w:rsidP="00085E96"/>
        <w:p w14:paraId="228FEA9E" w14:textId="77777777" w:rsidR="0019752C" w:rsidRPr="00085E96" w:rsidRDefault="0019752C" w:rsidP="00085E96"/>
        <w:p w14:paraId="5592C46C" w14:textId="204CAF13" w:rsidR="00BE1FD6" w:rsidRDefault="00845400">
          <w:pPr>
            <w:pStyle w:val="TM1"/>
            <w:tabs>
              <w:tab w:val="left" w:pos="440"/>
              <w:tab w:val="right" w:leader="dot" w:pos="9062"/>
            </w:tabs>
            <w:rPr>
              <w:noProof/>
            </w:rPr>
          </w:pPr>
          <w:hyperlink w:anchor="_Toc103684701" w:history="1">
            <w:r w:rsidR="00BE1FD6" w:rsidRPr="00B279D6">
              <w:rPr>
                <w:rStyle w:val="Lienhypertexte"/>
                <w:noProof/>
              </w:rPr>
              <w:t>II.</w:t>
            </w:r>
            <w:r w:rsidR="00BE1FD6">
              <w:rPr>
                <w:noProof/>
              </w:rPr>
              <w:tab/>
            </w:r>
            <w:r w:rsidR="00255E41">
              <w:rPr>
                <w:rStyle w:val="Lienhypertexte"/>
                <w:noProof/>
              </w:rPr>
              <w:t>Contexte de l’appel à</w:t>
            </w:r>
            <w:r w:rsidR="003B5AF6">
              <w:rPr>
                <w:rStyle w:val="Lienhypertexte"/>
                <w:noProof/>
              </w:rPr>
              <w:t xml:space="preserve"> </w:t>
            </w:r>
            <w:r w:rsidR="00255E41">
              <w:rPr>
                <w:rStyle w:val="Lienhypertexte"/>
                <w:noProof/>
              </w:rPr>
              <w:t>candidatures</w:t>
            </w:r>
            <w:r w:rsidR="00BE1FD6">
              <w:rPr>
                <w:noProof/>
                <w:webHidden/>
              </w:rPr>
              <w:tab/>
            </w:r>
            <w:r w:rsidR="007206B7">
              <w:rPr>
                <w:noProof/>
                <w:webHidden/>
              </w:rPr>
              <w:t>4</w:t>
            </w:r>
          </w:hyperlink>
        </w:p>
        <w:p w14:paraId="2528A133" w14:textId="50C03094" w:rsidR="00085E96" w:rsidRDefault="00085E96" w:rsidP="00085E96"/>
        <w:p w14:paraId="78147F8B" w14:textId="77777777" w:rsidR="0019752C" w:rsidRPr="00085E96" w:rsidRDefault="0019752C" w:rsidP="00085E96"/>
        <w:p w14:paraId="7A86453D" w14:textId="58D20432" w:rsidR="00BE1FD6" w:rsidRDefault="00845400">
          <w:pPr>
            <w:pStyle w:val="TM1"/>
            <w:tabs>
              <w:tab w:val="left" w:pos="660"/>
              <w:tab w:val="right" w:leader="dot" w:pos="9062"/>
            </w:tabs>
            <w:rPr>
              <w:noProof/>
            </w:rPr>
          </w:pPr>
          <w:hyperlink w:anchor="_Toc103684702" w:history="1">
            <w:r w:rsidR="00BE1FD6" w:rsidRPr="00B279D6">
              <w:rPr>
                <w:rStyle w:val="Lienhypertexte"/>
                <w:noProof/>
              </w:rPr>
              <w:t>III.</w:t>
            </w:r>
            <w:r w:rsidR="00BE1FD6">
              <w:rPr>
                <w:noProof/>
              </w:rPr>
              <w:tab/>
            </w:r>
            <w:r w:rsidR="00255E41">
              <w:rPr>
                <w:rStyle w:val="Lienhypertexte"/>
                <w:noProof/>
              </w:rPr>
              <w:t>Cahier des charges</w:t>
            </w:r>
            <w:r w:rsidR="00BE1FD6">
              <w:rPr>
                <w:noProof/>
                <w:webHidden/>
              </w:rPr>
              <w:tab/>
            </w:r>
            <w:r w:rsidR="00BE1FD6">
              <w:rPr>
                <w:noProof/>
                <w:webHidden/>
              </w:rPr>
              <w:fldChar w:fldCharType="begin"/>
            </w:r>
            <w:r w:rsidR="00BE1FD6">
              <w:rPr>
                <w:noProof/>
                <w:webHidden/>
              </w:rPr>
              <w:instrText xml:space="preserve"> PAGEREF _Toc103684702 \h </w:instrText>
            </w:r>
            <w:r w:rsidR="00BE1FD6">
              <w:rPr>
                <w:noProof/>
                <w:webHidden/>
              </w:rPr>
            </w:r>
            <w:r w:rsidR="00BE1FD6">
              <w:rPr>
                <w:noProof/>
                <w:webHidden/>
              </w:rPr>
              <w:fldChar w:fldCharType="separate"/>
            </w:r>
            <w:r w:rsidR="008C1A88">
              <w:rPr>
                <w:noProof/>
                <w:webHidden/>
              </w:rPr>
              <w:t>4</w:t>
            </w:r>
            <w:r w:rsidR="00BE1FD6">
              <w:rPr>
                <w:noProof/>
                <w:webHidden/>
              </w:rPr>
              <w:fldChar w:fldCharType="end"/>
            </w:r>
          </w:hyperlink>
        </w:p>
        <w:p w14:paraId="0BF7CFD4" w14:textId="77777777" w:rsidR="00085E96" w:rsidRPr="00085E96" w:rsidRDefault="00085E96" w:rsidP="00085E96"/>
        <w:p w14:paraId="0C1B257B" w14:textId="1693488A" w:rsidR="00BE1FD6" w:rsidRDefault="00845400">
          <w:pPr>
            <w:pStyle w:val="TM2"/>
            <w:tabs>
              <w:tab w:val="left" w:pos="880"/>
              <w:tab w:val="right" w:leader="dot" w:pos="9062"/>
            </w:tabs>
            <w:rPr>
              <w:noProof/>
            </w:rPr>
          </w:pPr>
          <w:hyperlink w:anchor="_Toc103684703" w:history="1">
            <w:r w:rsidR="00BE1FD6" w:rsidRPr="00B279D6">
              <w:rPr>
                <w:rStyle w:val="Lienhypertexte"/>
                <w:noProof/>
              </w:rPr>
              <w:t>3.1.</w:t>
            </w:r>
            <w:r w:rsidR="00BE1FD6">
              <w:rPr>
                <w:rFonts w:cstheme="minorBidi"/>
                <w:noProof/>
              </w:rPr>
              <w:tab/>
            </w:r>
            <w:r w:rsidR="00255E41">
              <w:rPr>
                <w:rStyle w:val="Lienhypertexte"/>
                <w:noProof/>
              </w:rPr>
              <w:t>Le public cible</w:t>
            </w:r>
            <w:r w:rsidR="00BE1FD6">
              <w:rPr>
                <w:noProof/>
                <w:webHidden/>
              </w:rPr>
              <w:tab/>
            </w:r>
            <w:r w:rsidR="00BE1FD6">
              <w:rPr>
                <w:noProof/>
                <w:webHidden/>
              </w:rPr>
              <w:fldChar w:fldCharType="begin"/>
            </w:r>
            <w:r w:rsidR="00BE1FD6">
              <w:rPr>
                <w:noProof/>
                <w:webHidden/>
              </w:rPr>
              <w:instrText xml:space="preserve"> PAGEREF _Toc103684703 \h </w:instrText>
            </w:r>
            <w:r w:rsidR="00BE1FD6">
              <w:rPr>
                <w:noProof/>
                <w:webHidden/>
              </w:rPr>
            </w:r>
            <w:r w:rsidR="00BE1FD6">
              <w:rPr>
                <w:noProof/>
                <w:webHidden/>
              </w:rPr>
              <w:fldChar w:fldCharType="separate"/>
            </w:r>
            <w:r w:rsidR="008C1A88">
              <w:rPr>
                <w:noProof/>
                <w:webHidden/>
              </w:rPr>
              <w:t>4</w:t>
            </w:r>
            <w:r w:rsidR="00BE1FD6">
              <w:rPr>
                <w:noProof/>
                <w:webHidden/>
              </w:rPr>
              <w:fldChar w:fldCharType="end"/>
            </w:r>
          </w:hyperlink>
        </w:p>
        <w:p w14:paraId="2B52A2C9" w14:textId="77777777" w:rsidR="0019752C" w:rsidRPr="0019752C" w:rsidRDefault="0019752C" w:rsidP="0019752C"/>
        <w:p w14:paraId="08799DF4" w14:textId="24C6EC27" w:rsidR="00BE1FD6" w:rsidRDefault="00845400">
          <w:pPr>
            <w:pStyle w:val="TM2"/>
            <w:tabs>
              <w:tab w:val="left" w:pos="880"/>
              <w:tab w:val="right" w:leader="dot" w:pos="9062"/>
            </w:tabs>
            <w:rPr>
              <w:noProof/>
            </w:rPr>
          </w:pPr>
          <w:hyperlink w:anchor="_Toc103684704" w:history="1">
            <w:r w:rsidR="00BE1FD6" w:rsidRPr="00B279D6">
              <w:rPr>
                <w:rStyle w:val="Lienhypertexte"/>
                <w:noProof/>
              </w:rPr>
              <w:t>3.2.</w:t>
            </w:r>
            <w:r w:rsidR="00BE1FD6">
              <w:rPr>
                <w:rFonts w:cstheme="minorBidi"/>
                <w:noProof/>
              </w:rPr>
              <w:tab/>
            </w:r>
            <w:r w:rsidR="00255E41">
              <w:rPr>
                <w:rStyle w:val="Lienhypertexte"/>
                <w:noProof/>
              </w:rPr>
              <w:t>Porteur et pré-requis</w:t>
            </w:r>
            <w:r w:rsidR="00BE1FD6">
              <w:rPr>
                <w:noProof/>
                <w:webHidden/>
              </w:rPr>
              <w:tab/>
            </w:r>
            <w:r w:rsidR="007206B7">
              <w:rPr>
                <w:noProof/>
                <w:webHidden/>
              </w:rPr>
              <w:t>5</w:t>
            </w:r>
          </w:hyperlink>
        </w:p>
        <w:p w14:paraId="2621A1E3" w14:textId="77777777" w:rsidR="0019752C" w:rsidRPr="0019752C" w:rsidRDefault="0019752C" w:rsidP="0019752C"/>
        <w:p w14:paraId="3CAD4AF2" w14:textId="2AE39CE1" w:rsidR="00BE1FD6" w:rsidRDefault="00845400">
          <w:pPr>
            <w:pStyle w:val="TM2"/>
            <w:tabs>
              <w:tab w:val="left" w:pos="880"/>
              <w:tab w:val="right" w:leader="dot" w:pos="9062"/>
            </w:tabs>
            <w:rPr>
              <w:noProof/>
            </w:rPr>
          </w:pPr>
          <w:hyperlink w:anchor="_Toc103684705" w:history="1">
            <w:r w:rsidR="00BE1FD6" w:rsidRPr="00B279D6">
              <w:rPr>
                <w:rStyle w:val="Lienhypertexte"/>
                <w:noProof/>
              </w:rPr>
              <w:t>3.3.</w:t>
            </w:r>
            <w:r w:rsidR="00BE1FD6">
              <w:rPr>
                <w:rFonts w:cstheme="minorBidi"/>
                <w:noProof/>
              </w:rPr>
              <w:tab/>
            </w:r>
            <w:r w:rsidR="00255E41">
              <w:rPr>
                <w:rStyle w:val="Lienhypertexte"/>
                <w:noProof/>
              </w:rPr>
              <w:t>Modalités de fonctionnement</w:t>
            </w:r>
            <w:r w:rsidR="00BE1FD6">
              <w:rPr>
                <w:noProof/>
                <w:webHidden/>
              </w:rPr>
              <w:tab/>
            </w:r>
            <w:r w:rsidR="007206B7">
              <w:rPr>
                <w:noProof/>
                <w:webHidden/>
              </w:rPr>
              <w:t>6</w:t>
            </w:r>
          </w:hyperlink>
        </w:p>
        <w:p w14:paraId="19EE7608" w14:textId="77777777" w:rsidR="0019752C" w:rsidRPr="0019752C" w:rsidRDefault="0019752C" w:rsidP="0019752C"/>
        <w:p w14:paraId="5F20ED52" w14:textId="7FDA3336" w:rsidR="00BE1FD6" w:rsidRDefault="00845400">
          <w:pPr>
            <w:pStyle w:val="TM2"/>
            <w:tabs>
              <w:tab w:val="left" w:pos="880"/>
              <w:tab w:val="right" w:leader="dot" w:pos="9062"/>
            </w:tabs>
            <w:rPr>
              <w:noProof/>
            </w:rPr>
          </w:pPr>
          <w:hyperlink w:anchor="_Toc103684706" w:history="1">
            <w:r w:rsidR="00BE1FD6" w:rsidRPr="00B279D6">
              <w:rPr>
                <w:rStyle w:val="Lienhypertexte"/>
                <w:noProof/>
              </w:rPr>
              <w:t>3.4.</w:t>
            </w:r>
            <w:r w:rsidR="00BE1FD6">
              <w:rPr>
                <w:rFonts w:cstheme="minorBidi"/>
                <w:noProof/>
              </w:rPr>
              <w:tab/>
            </w:r>
            <w:r w:rsidR="00255E41">
              <w:rPr>
                <w:rStyle w:val="Lienhypertexte"/>
                <w:noProof/>
              </w:rPr>
              <w:t>Modalités de financement</w:t>
            </w:r>
            <w:r w:rsidR="00BE1FD6">
              <w:rPr>
                <w:noProof/>
                <w:webHidden/>
              </w:rPr>
              <w:tab/>
            </w:r>
            <w:r w:rsidR="007206B7">
              <w:rPr>
                <w:noProof/>
                <w:webHidden/>
              </w:rPr>
              <w:t>9</w:t>
            </w:r>
          </w:hyperlink>
        </w:p>
        <w:p w14:paraId="7D6BA121" w14:textId="77777777" w:rsidR="0019752C" w:rsidRPr="0019752C" w:rsidRDefault="0019752C" w:rsidP="0019752C"/>
        <w:p w14:paraId="0D3D409A" w14:textId="4A02D5EA" w:rsidR="00BE1FD6" w:rsidRDefault="00845400">
          <w:pPr>
            <w:pStyle w:val="TM2"/>
            <w:tabs>
              <w:tab w:val="left" w:pos="880"/>
              <w:tab w:val="right" w:leader="dot" w:pos="9062"/>
            </w:tabs>
            <w:rPr>
              <w:noProof/>
            </w:rPr>
          </w:pPr>
          <w:hyperlink w:anchor="_Toc103684707" w:history="1">
            <w:r w:rsidR="00BE1FD6" w:rsidRPr="00B279D6">
              <w:rPr>
                <w:rStyle w:val="Lienhypertexte"/>
                <w:noProof/>
              </w:rPr>
              <w:t>3.5.</w:t>
            </w:r>
            <w:r w:rsidR="00BE1FD6">
              <w:rPr>
                <w:rFonts w:cstheme="minorBidi"/>
                <w:noProof/>
              </w:rPr>
              <w:tab/>
            </w:r>
            <w:r w:rsidR="00255E41">
              <w:rPr>
                <w:rStyle w:val="Lienhypertexte"/>
                <w:noProof/>
              </w:rPr>
              <w:t>Suivi et évaluation</w:t>
            </w:r>
            <w:r w:rsidR="00BE1FD6">
              <w:rPr>
                <w:noProof/>
                <w:webHidden/>
              </w:rPr>
              <w:tab/>
            </w:r>
            <w:r w:rsidR="007206B7">
              <w:rPr>
                <w:noProof/>
                <w:webHidden/>
              </w:rPr>
              <w:t>9</w:t>
            </w:r>
          </w:hyperlink>
        </w:p>
        <w:p w14:paraId="777C5631" w14:textId="4E737250" w:rsidR="00085E96" w:rsidRDefault="00085E96" w:rsidP="00085E96"/>
        <w:p w14:paraId="3DF55775" w14:textId="77777777" w:rsidR="00C8182F" w:rsidRPr="00085E96" w:rsidRDefault="00C8182F" w:rsidP="00085E96"/>
        <w:p w14:paraId="6EA442B2" w14:textId="13527A9B" w:rsidR="00BE1FD6" w:rsidRDefault="00845400">
          <w:pPr>
            <w:pStyle w:val="TM1"/>
            <w:tabs>
              <w:tab w:val="left" w:pos="660"/>
              <w:tab w:val="right" w:leader="dot" w:pos="9062"/>
            </w:tabs>
            <w:rPr>
              <w:noProof/>
            </w:rPr>
          </w:pPr>
          <w:hyperlink w:anchor="_Toc103684711" w:history="1">
            <w:r w:rsidR="00BE1FD6" w:rsidRPr="00B279D6">
              <w:rPr>
                <w:rStyle w:val="Lienhypertexte"/>
                <w:noProof/>
              </w:rPr>
              <w:t>IV.</w:t>
            </w:r>
            <w:r w:rsidR="00BE1FD6">
              <w:rPr>
                <w:noProof/>
              </w:rPr>
              <w:tab/>
            </w:r>
            <w:r w:rsidR="00BE1FD6" w:rsidRPr="00B279D6">
              <w:rPr>
                <w:rStyle w:val="Lienhypertexte"/>
                <w:noProof/>
              </w:rPr>
              <w:t>PROCÉDURE DE L’APPEL À CANDIDATURE</w:t>
            </w:r>
            <w:r w:rsidR="00BE1FD6">
              <w:rPr>
                <w:noProof/>
                <w:webHidden/>
              </w:rPr>
              <w:tab/>
            </w:r>
            <w:r w:rsidR="007206B7">
              <w:rPr>
                <w:noProof/>
                <w:webHidden/>
              </w:rPr>
              <w:t>10</w:t>
            </w:r>
          </w:hyperlink>
        </w:p>
        <w:p w14:paraId="0925E238" w14:textId="77777777" w:rsidR="0019752C" w:rsidRPr="0019752C" w:rsidRDefault="0019752C" w:rsidP="0019752C"/>
        <w:p w14:paraId="2E9FA465" w14:textId="15414789" w:rsidR="00BE1FD6" w:rsidRDefault="00845400">
          <w:pPr>
            <w:pStyle w:val="TM2"/>
            <w:tabs>
              <w:tab w:val="left" w:pos="880"/>
              <w:tab w:val="right" w:leader="dot" w:pos="9062"/>
            </w:tabs>
            <w:rPr>
              <w:noProof/>
            </w:rPr>
          </w:pPr>
          <w:hyperlink w:anchor="_Toc103684712" w:history="1">
            <w:r w:rsidR="00BE1FD6" w:rsidRPr="00B279D6">
              <w:rPr>
                <w:rStyle w:val="Lienhypertexte"/>
                <w:noProof/>
              </w:rPr>
              <w:t>4.1.</w:t>
            </w:r>
            <w:r w:rsidR="00BE1FD6">
              <w:rPr>
                <w:rFonts w:cstheme="minorBidi"/>
                <w:noProof/>
              </w:rPr>
              <w:tab/>
            </w:r>
            <w:r w:rsidR="00085E96">
              <w:rPr>
                <w:rStyle w:val="Lienhypertexte"/>
                <w:noProof/>
              </w:rPr>
              <w:t xml:space="preserve">Publicité </w:t>
            </w:r>
            <w:r w:rsidR="00BE1FD6">
              <w:rPr>
                <w:noProof/>
                <w:webHidden/>
              </w:rPr>
              <w:tab/>
            </w:r>
            <w:r w:rsidR="007206B7">
              <w:rPr>
                <w:noProof/>
                <w:webHidden/>
              </w:rPr>
              <w:t>10</w:t>
            </w:r>
          </w:hyperlink>
        </w:p>
        <w:p w14:paraId="60FD9263" w14:textId="77777777" w:rsidR="0019752C" w:rsidRPr="0019752C" w:rsidRDefault="0019752C" w:rsidP="0019752C"/>
        <w:p w14:paraId="3D7288BD" w14:textId="04D7C8DE" w:rsidR="00BE1FD6" w:rsidRDefault="00845400">
          <w:pPr>
            <w:pStyle w:val="TM2"/>
            <w:tabs>
              <w:tab w:val="left" w:pos="880"/>
              <w:tab w:val="right" w:leader="dot" w:pos="9062"/>
            </w:tabs>
            <w:rPr>
              <w:noProof/>
            </w:rPr>
          </w:pPr>
          <w:hyperlink w:anchor="_Toc103684713" w:history="1">
            <w:r w:rsidR="00BE1FD6" w:rsidRPr="00B279D6">
              <w:rPr>
                <w:rStyle w:val="Lienhypertexte"/>
                <w:noProof/>
              </w:rPr>
              <w:t>4.2.</w:t>
            </w:r>
            <w:r w:rsidR="00BE1FD6">
              <w:rPr>
                <w:rFonts w:cstheme="minorBidi"/>
                <w:noProof/>
              </w:rPr>
              <w:tab/>
            </w:r>
            <w:r w:rsidR="00085E96">
              <w:rPr>
                <w:rStyle w:val="Lienhypertexte"/>
                <w:noProof/>
              </w:rPr>
              <w:t>Calendrier</w:t>
            </w:r>
            <w:r w:rsidR="00BE1FD6">
              <w:rPr>
                <w:noProof/>
                <w:webHidden/>
              </w:rPr>
              <w:tab/>
            </w:r>
            <w:r w:rsidR="007206B7">
              <w:rPr>
                <w:noProof/>
                <w:webHidden/>
              </w:rPr>
              <w:t>10</w:t>
            </w:r>
          </w:hyperlink>
        </w:p>
        <w:p w14:paraId="4F0AC304" w14:textId="77777777" w:rsidR="0019752C" w:rsidRPr="0019752C" w:rsidRDefault="0019752C" w:rsidP="0019752C"/>
        <w:p w14:paraId="6DF49087" w14:textId="173FD514" w:rsidR="00BE1FD6" w:rsidRDefault="00845400" w:rsidP="00085E96">
          <w:pPr>
            <w:pStyle w:val="TM2"/>
            <w:tabs>
              <w:tab w:val="left" w:pos="880"/>
              <w:tab w:val="right" w:leader="dot" w:pos="9062"/>
            </w:tabs>
            <w:rPr>
              <w:noProof/>
            </w:rPr>
          </w:pPr>
          <w:hyperlink w:anchor="_Toc103684714" w:history="1">
            <w:r w:rsidR="00BE1FD6" w:rsidRPr="00B279D6">
              <w:rPr>
                <w:rStyle w:val="Lienhypertexte"/>
                <w:noProof/>
              </w:rPr>
              <w:t>4.3.</w:t>
            </w:r>
            <w:r w:rsidR="00BE1FD6">
              <w:rPr>
                <w:rFonts w:cstheme="minorBidi"/>
                <w:noProof/>
              </w:rPr>
              <w:tab/>
            </w:r>
            <w:r w:rsidR="00085E96">
              <w:rPr>
                <w:rStyle w:val="Lienhypertexte"/>
                <w:noProof/>
              </w:rPr>
              <w:t>Contenu du dossier de candidature</w:t>
            </w:r>
            <w:r w:rsidR="00BE1FD6">
              <w:rPr>
                <w:noProof/>
                <w:webHidden/>
              </w:rPr>
              <w:tab/>
            </w:r>
            <w:r w:rsidR="007206B7">
              <w:rPr>
                <w:noProof/>
                <w:webHidden/>
              </w:rPr>
              <w:t>10</w:t>
            </w:r>
          </w:hyperlink>
        </w:p>
        <w:p w14:paraId="63BA55FF" w14:textId="785FF3E1" w:rsidR="00B24D5E" w:rsidRPr="00C8182F" w:rsidRDefault="00C03DD7" w:rsidP="00C8182F">
          <w:pPr>
            <w:pStyle w:val="TM2"/>
            <w:tabs>
              <w:tab w:val="left" w:pos="880"/>
              <w:tab w:val="right" w:leader="dot" w:pos="9062"/>
            </w:tabs>
            <w:rPr>
              <w:b/>
              <w:bCs/>
            </w:rPr>
          </w:pPr>
          <w:r w:rsidRPr="00B978F6">
            <w:rPr>
              <w:b/>
              <w:bCs/>
            </w:rPr>
            <w:fldChar w:fldCharType="end"/>
          </w:r>
        </w:p>
      </w:sdtContent>
    </w:sdt>
    <w:p w14:paraId="0742CD37" w14:textId="77777777" w:rsidR="004B6C5F" w:rsidRPr="00B978F6" w:rsidRDefault="004B6C5F">
      <w:pPr>
        <w:rPr>
          <w:rFonts w:asciiTheme="majorHAnsi" w:eastAsiaTheme="majorEastAsia" w:hAnsiTheme="majorHAnsi" w:cstheme="majorBidi"/>
          <w:color w:val="365F91" w:themeColor="accent1" w:themeShade="BF"/>
          <w:sz w:val="32"/>
          <w:szCs w:val="32"/>
        </w:rPr>
      </w:pPr>
      <w:r w:rsidRPr="00B978F6">
        <w:br w:type="page"/>
      </w:r>
    </w:p>
    <w:p w14:paraId="608B187B" w14:textId="681EB14B" w:rsidR="008F7C29" w:rsidRPr="00B978F6" w:rsidRDefault="00A2644A" w:rsidP="008117F3">
      <w:pPr>
        <w:pStyle w:val="Titre1"/>
        <w:numPr>
          <w:ilvl w:val="0"/>
          <w:numId w:val="1"/>
        </w:numPr>
      </w:pPr>
      <w:r>
        <w:lastRenderedPageBreak/>
        <w:t>Textes de r</w:t>
      </w:r>
      <w:r w:rsidR="0019752C">
        <w:t>éférences</w:t>
      </w:r>
    </w:p>
    <w:p w14:paraId="1D2A5E3B" w14:textId="4D24F9C1" w:rsidR="00B24D5E" w:rsidRDefault="00B24D5E" w:rsidP="00554B72">
      <w:pPr>
        <w:rPr>
          <w:rFonts w:eastAsiaTheme="majorEastAsia"/>
        </w:rPr>
      </w:pPr>
    </w:p>
    <w:p w14:paraId="1E8E3C9A" w14:textId="5A6E4C82" w:rsidR="00FA0027" w:rsidRDefault="00FA0027" w:rsidP="007F7BE9">
      <w:pPr>
        <w:jc w:val="both"/>
        <w:rPr>
          <w:rFonts w:eastAsiaTheme="majorEastAsia"/>
        </w:rPr>
      </w:pPr>
      <w:r>
        <w:rPr>
          <w:rFonts w:eastAsiaTheme="majorEastAsia"/>
        </w:rPr>
        <w:t xml:space="preserve">La mesure 16 du plan Alzheimer 2008-2012 prévoit de généraliser la réalisation d’unités d’hébergement renforcées </w:t>
      </w:r>
      <w:r w:rsidR="007F7BE9">
        <w:rPr>
          <w:rFonts w:eastAsiaTheme="majorEastAsia"/>
        </w:rPr>
        <w:t>dans les EHPAD et les unités de soins de longue durée (USLD) selon le niveau de troubles du comportement des personnes concernées.</w:t>
      </w:r>
    </w:p>
    <w:p w14:paraId="5479F5DC" w14:textId="25208E2C" w:rsidR="007F7BE9" w:rsidRDefault="007F7BE9" w:rsidP="007F7BE9">
      <w:pPr>
        <w:jc w:val="both"/>
        <w:rPr>
          <w:rFonts w:eastAsiaTheme="majorEastAsia"/>
        </w:rPr>
      </w:pPr>
      <w:r>
        <w:rPr>
          <w:rFonts w:eastAsiaTheme="majorEastAsia"/>
        </w:rPr>
        <w:t>L’UHR s’intègre dans un projet d’établissement qui peut comporter d’autres types de réponses adaptées à la prise en charge des résidents souffrant de maladie d’Alzheimer ou d’une maladie apparentée.</w:t>
      </w:r>
    </w:p>
    <w:p w14:paraId="0D8702FE" w14:textId="7F4FC60D" w:rsidR="007F7BE9" w:rsidRDefault="007F7BE9" w:rsidP="007F7BE9">
      <w:pPr>
        <w:jc w:val="both"/>
        <w:rPr>
          <w:rFonts w:eastAsiaTheme="majorEastAsia"/>
        </w:rPr>
      </w:pPr>
      <w:r w:rsidRPr="00AC4512">
        <w:rPr>
          <w:rFonts w:eastAsiaTheme="majorEastAsia"/>
          <w:u w:val="single"/>
        </w:rPr>
        <w:t>Les recommandations de bonnes pratiques professionnelles de</w:t>
      </w:r>
      <w:r>
        <w:rPr>
          <w:rFonts w:eastAsiaTheme="majorEastAsia"/>
        </w:rPr>
        <w:t> :</w:t>
      </w:r>
    </w:p>
    <w:p w14:paraId="326DCC8C" w14:textId="5295F32D" w:rsidR="007F7BE9" w:rsidRPr="005F5FD8" w:rsidRDefault="007F7BE9" w:rsidP="007F7BE9">
      <w:pPr>
        <w:pStyle w:val="Paragraphedeliste"/>
        <w:numPr>
          <w:ilvl w:val="0"/>
          <w:numId w:val="10"/>
        </w:numPr>
        <w:jc w:val="both"/>
        <w:rPr>
          <w:rFonts w:eastAsiaTheme="majorEastAsia"/>
          <w:sz w:val="22"/>
        </w:rPr>
      </w:pPr>
      <w:r w:rsidRPr="005F5FD8">
        <w:rPr>
          <w:rFonts w:eastAsiaTheme="majorEastAsia"/>
          <w:b w:val="0"/>
          <w:sz w:val="22"/>
          <w:u w:val="none"/>
        </w:rPr>
        <w:t>L’Agence Nationale de l’Evaluation et de la qualité des établissements et Services sociaux et médico-sociaux (ANESM) « L’accompagnement des personnes atteintes d’une maladie d’Alzheimer ou apparentée en établissement médico-social (février 2009) ».</w:t>
      </w:r>
    </w:p>
    <w:p w14:paraId="2DF68E87" w14:textId="77777777" w:rsidR="00AC4512" w:rsidRPr="005F5FD8" w:rsidRDefault="00AC4512" w:rsidP="007F7BE9">
      <w:pPr>
        <w:pStyle w:val="Paragraphedeliste"/>
        <w:numPr>
          <w:ilvl w:val="0"/>
          <w:numId w:val="10"/>
        </w:numPr>
        <w:jc w:val="both"/>
        <w:rPr>
          <w:rFonts w:eastAsiaTheme="majorEastAsia"/>
          <w:b w:val="0"/>
          <w:sz w:val="22"/>
          <w:u w:val="none"/>
        </w:rPr>
      </w:pPr>
    </w:p>
    <w:p w14:paraId="61366540" w14:textId="0DC3DCB4" w:rsidR="007F7BE9" w:rsidRPr="005F5FD8" w:rsidRDefault="007F7BE9" w:rsidP="00AC4512">
      <w:pPr>
        <w:pStyle w:val="Paragraphedeliste"/>
        <w:jc w:val="both"/>
        <w:rPr>
          <w:rFonts w:eastAsiaTheme="majorEastAsia"/>
          <w:sz w:val="22"/>
        </w:rPr>
      </w:pPr>
      <w:r w:rsidRPr="005F5FD8">
        <w:rPr>
          <w:rFonts w:eastAsiaTheme="majorEastAsia"/>
          <w:b w:val="0"/>
          <w:sz w:val="22"/>
          <w:u w:val="none"/>
        </w:rPr>
        <w:t>La Haute Autorité de Santé (HAS) « Maladie d’Alzheimer et maladies apparentées : prise en charge des troubles du comportement perturbateurs (2009).</w:t>
      </w:r>
    </w:p>
    <w:p w14:paraId="44380C4E" w14:textId="47E547BF" w:rsidR="007A6573" w:rsidRPr="005F5FD8" w:rsidRDefault="007A6573" w:rsidP="007A6573">
      <w:pPr>
        <w:jc w:val="both"/>
        <w:rPr>
          <w:rFonts w:eastAsiaTheme="majorEastAsia"/>
        </w:rPr>
      </w:pPr>
      <w:r w:rsidRPr="005F5FD8">
        <w:rPr>
          <w:rFonts w:eastAsiaTheme="majorEastAsia"/>
        </w:rPr>
        <w:t>S’appliquent à de type d’unité spécifique.</w:t>
      </w:r>
    </w:p>
    <w:p w14:paraId="41FE4F04" w14:textId="5839800A" w:rsidR="00F468E8" w:rsidRDefault="00F468E8" w:rsidP="007A6573">
      <w:pPr>
        <w:jc w:val="both"/>
        <w:rPr>
          <w:rFonts w:eastAsiaTheme="majorEastAsia"/>
        </w:rPr>
      </w:pPr>
    </w:p>
    <w:p w14:paraId="30F1DF2B" w14:textId="527ACFF6" w:rsidR="00F468E8" w:rsidRPr="005F5FD8" w:rsidRDefault="00F468E8" w:rsidP="00F468E8">
      <w:pPr>
        <w:pStyle w:val="Paragraphedeliste"/>
        <w:numPr>
          <w:ilvl w:val="0"/>
          <w:numId w:val="11"/>
        </w:numPr>
        <w:jc w:val="both"/>
        <w:rPr>
          <w:rFonts w:eastAsiaTheme="majorEastAsia"/>
          <w:sz w:val="22"/>
        </w:rPr>
      </w:pPr>
      <w:r w:rsidRPr="005F5FD8">
        <w:rPr>
          <w:rFonts w:eastAsiaTheme="majorEastAsia"/>
          <w:b w:val="0"/>
          <w:sz w:val="22"/>
          <w:u w:val="none"/>
        </w:rPr>
        <w:t>Article D312-155-0-2 du code de l’action sociale et des familles (créé par le décret n° 2016-1164 du 26 août 2016 relatif aux conditions techniques minimales d’organisation et de fonctionnement des établissements d’hébergement pour personnes âgées dépendantes).</w:t>
      </w:r>
    </w:p>
    <w:p w14:paraId="4C89022F" w14:textId="77777777" w:rsidR="00AC4512" w:rsidRPr="005F5FD8" w:rsidRDefault="00AC4512" w:rsidP="00AC4512">
      <w:pPr>
        <w:pStyle w:val="Paragraphedeliste"/>
        <w:jc w:val="both"/>
        <w:rPr>
          <w:rFonts w:eastAsiaTheme="majorEastAsia"/>
          <w:b w:val="0"/>
          <w:sz w:val="22"/>
          <w:u w:val="none"/>
        </w:rPr>
      </w:pPr>
    </w:p>
    <w:p w14:paraId="03591548" w14:textId="5D1E391C" w:rsidR="00F468E8" w:rsidRPr="005F5FD8" w:rsidRDefault="00F468E8" w:rsidP="00F468E8">
      <w:pPr>
        <w:pStyle w:val="Paragraphedeliste"/>
        <w:numPr>
          <w:ilvl w:val="0"/>
          <w:numId w:val="11"/>
        </w:numPr>
        <w:jc w:val="both"/>
        <w:rPr>
          <w:rFonts w:eastAsiaTheme="majorEastAsia"/>
          <w:sz w:val="22"/>
        </w:rPr>
      </w:pPr>
      <w:r w:rsidRPr="005F5FD8">
        <w:rPr>
          <w:rFonts w:eastAsiaTheme="majorEastAsia"/>
          <w:b w:val="0"/>
          <w:sz w:val="22"/>
          <w:u w:val="none"/>
        </w:rPr>
        <w:t>Instruction ministérielle n</w:t>
      </w:r>
      <w:r w:rsidR="00F5508C">
        <w:rPr>
          <w:rFonts w:eastAsiaTheme="majorEastAsia"/>
          <w:b w:val="0"/>
          <w:sz w:val="22"/>
          <w:u w:val="none"/>
        </w:rPr>
        <w:t>° DGCS/SD5B</w:t>
      </w:r>
      <w:r w:rsidRPr="005F5FD8">
        <w:rPr>
          <w:rFonts w:eastAsiaTheme="majorEastAsia"/>
          <w:b w:val="0"/>
          <w:sz w:val="22"/>
          <w:u w:val="none"/>
        </w:rPr>
        <w:t>/DSS/SD1A/CNSA/D</w:t>
      </w:r>
      <w:r w:rsidR="00F5508C">
        <w:rPr>
          <w:rFonts w:eastAsiaTheme="majorEastAsia"/>
          <w:b w:val="0"/>
          <w:sz w:val="22"/>
          <w:u w:val="none"/>
        </w:rPr>
        <w:t>FO</w:t>
      </w:r>
      <w:r w:rsidRPr="005F5FD8">
        <w:rPr>
          <w:rFonts w:eastAsiaTheme="majorEastAsia"/>
          <w:b w:val="0"/>
          <w:sz w:val="22"/>
          <w:u w:val="none"/>
        </w:rPr>
        <w:t>/202</w:t>
      </w:r>
      <w:r w:rsidR="00F5508C">
        <w:rPr>
          <w:rFonts w:eastAsiaTheme="majorEastAsia"/>
          <w:b w:val="0"/>
          <w:sz w:val="22"/>
          <w:u w:val="none"/>
        </w:rPr>
        <w:t>3</w:t>
      </w:r>
      <w:r w:rsidRPr="005F5FD8">
        <w:rPr>
          <w:rFonts w:eastAsiaTheme="majorEastAsia"/>
          <w:b w:val="0"/>
          <w:sz w:val="22"/>
          <w:u w:val="none"/>
        </w:rPr>
        <w:t>/</w:t>
      </w:r>
      <w:r w:rsidR="00F5508C">
        <w:rPr>
          <w:rFonts w:eastAsiaTheme="majorEastAsia"/>
          <w:b w:val="0"/>
          <w:sz w:val="22"/>
          <w:u w:val="none"/>
        </w:rPr>
        <w:t>6</w:t>
      </w:r>
      <w:r w:rsidRPr="005F5FD8">
        <w:rPr>
          <w:rFonts w:eastAsiaTheme="majorEastAsia"/>
          <w:b w:val="0"/>
          <w:sz w:val="22"/>
          <w:u w:val="none"/>
        </w:rPr>
        <w:t>0 du 1</w:t>
      </w:r>
      <w:r w:rsidR="00F5508C">
        <w:rPr>
          <w:rFonts w:eastAsiaTheme="majorEastAsia"/>
          <w:b w:val="0"/>
          <w:sz w:val="22"/>
          <w:u w:val="none"/>
        </w:rPr>
        <w:t>5</w:t>
      </w:r>
      <w:r w:rsidRPr="005F5FD8">
        <w:rPr>
          <w:rFonts w:eastAsiaTheme="majorEastAsia"/>
          <w:b w:val="0"/>
          <w:sz w:val="22"/>
          <w:u w:val="none"/>
        </w:rPr>
        <w:t xml:space="preserve"> </w:t>
      </w:r>
      <w:r w:rsidR="00F5508C">
        <w:rPr>
          <w:rFonts w:eastAsiaTheme="majorEastAsia"/>
          <w:b w:val="0"/>
          <w:sz w:val="22"/>
          <w:u w:val="none"/>
        </w:rPr>
        <w:t>mai</w:t>
      </w:r>
      <w:r w:rsidRPr="005F5FD8">
        <w:rPr>
          <w:rFonts w:eastAsiaTheme="majorEastAsia"/>
          <w:b w:val="0"/>
          <w:sz w:val="22"/>
          <w:u w:val="none"/>
        </w:rPr>
        <w:t xml:space="preserve"> 202</w:t>
      </w:r>
      <w:r w:rsidR="00F5508C">
        <w:rPr>
          <w:rFonts w:eastAsiaTheme="majorEastAsia"/>
          <w:b w:val="0"/>
          <w:sz w:val="22"/>
          <w:u w:val="none"/>
        </w:rPr>
        <w:t>3</w:t>
      </w:r>
      <w:r w:rsidRPr="005F5FD8">
        <w:rPr>
          <w:rFonts w:eastAsiaTheme="majorEastAsia"/>
          <w:b w:val="0"/>
          <w:sz w:val="22"/>
          <w:u w:val="none"/>
        </w:rPr>
        <w:t xml:space="preserve"> relative aux orientations de la campagne budgétaire des établissements et services médico-sociaux accueillant des personnes en situation de handicap et des personnes </w:t>
      </w:r>
      <w:r w:rsidR="00F5508C">
        <w:rPr>
          <w:rFonts w:eastAsiaTheme="majorEastAsia"/>
          <w:b w:val="0"/>
          <w:sz w:val="22"/>
          <w:u w:val="none"/>
        </w:rPr>
        <w:t>âgées.</w:t>
      </w:r>
    </w:p>
    <w:p w14:paraId="0F832AD1" w14:textId="77777777" w:rsidR="00AC4512" w:rsidRPr="005F5FD8" w:rsidRDefault="00AC4512" w:rsidP="00AC4512">
      <w:pPr>
        <w:pStyle w:val="Paragraphedeliste"/>
        <w:rPr>
          <w:rFonts w:eastAsiaTheme="majorEastAsia"/>
          <w:b w:val="0"/>
          <w:sz w:val="22"/>
          <w:u w:val="none"/>
        </w:rPr>
      </w:pPr>
    </w:p>
    <w:p w14:paraId="01CE209B" w14:textId="5542EC04" w:rsidR="00F468E8" w:rsidRPr="005F5FD8" w:rsidRDefault="00B14A8C" w:rsidP="00F468E8">
      <w:pPr>
        <w:pStyle w:val="Paragraphedeliste"/>
        <w:numPr>
          <w:ilvl w:val="0"/>
          <w:numId w:val="11"/>
        </w:numPr>
        <w:jc w:val="both"/>
        <w:rPr>
          <w:rFonts w:eastAsiaTheme="majorEastAsia"/>
          <w:sz w:val="22"/>
        </w:rPr>
      </w:pPr>
      <w:r>
        <w:rPr>
          <w:rFonts w:eastAsiaTheme="majorEastAsia"/>
          <w:b w:val="0"/>
          <w:sz w:val="22"/>
          <w:u w:val="none"/>
        </w:rPr>
        <w:t>Plan maladies neuro</w:t>
      </w:r>
      <w:r w:rsidR="00F468E8" w:rsidRPr="005F5FD8">
        <w:rPr>
          <w:rFonts w:eastAsiaTheme="majorEastAsia"/>
          <w:b w:val="0"/>
          <w:sz w:val="22"/>
          <w:u w:val="none"/>
        </w:rPr>
        <w:t>dégénératives 2014-2019 (mesure 27).</w:t>
      </w:r>
    </w:p>
    <w:p w14:paraId="6B3DCBAD" w14:textId="77777777" w:rsidR="00AC4512" w:rsidRPr="005F5FD8" w:rsidRDefault="00AC4512" w:rsidP="00AC4512">
      <w:pPr>
        <w:pStyle w:val="Paragraphedeliste"/>
        <w:rPr>
          <w:rFonts w:eastAsiaTheme="majorEastAsia"/>
          <w:b w:val="0"/>
          <w:sz w:val="22"/>
          <w:u w:val="none"/>
        </w:rPr>
      </w:pPr>
    </w:p>
    <w:p w14:paraId="314FDDB2" w14:textId="7B53BC59" w:rsidR="00AC4512" w:rsidRDefault="00F468E8" w:rsidP="007770D4">
      <w:pPr>
        <w:pStyle w:val="Paragraphedeliste"/>
        <w:numPr>
          <w:ilvl w:val="0"/>
          <w:numId w:val="11"/>
        </w:numPr>
        <w:jc w:val="both"/>
        <w:rPr>
          <w:rFonts w:eastAsiaTheme="majorEastAsia"/>
          <w:b w:val="0"/>
          <w:sz w:val="22"/>
          <w:u w:val="none"/>
        </w:rPr>
      </w:pPr>
      <w:r w:rsidRPr="00F5508C">
        <w:rPr>
          <w:rFonts w:eastAsiaTheme="majorEastAsia"/>
          <w:b w:val="0"/>
          <w:sz w:val="22"/>
          <w:u w:val="none"/>
        </w:rPr>
        <w:t>Feuille de route EHPAD – USLD 2021/2023</w:t>
      </w:r>
      <w:r w:rsidR="00F5508C">
        <w:rPr>
          <w:rFonts w:eastAsiaTheme="majorEastAsia"/>
          <w:b w:val="0"/>
          <w:sz w:val="22"/>
          <w:u w:val="none"/>
        </w:rPr>
        <w:t> : vers des établissements plus médicalisés pour faire face au défi de la grande dépendance publiée le 17 mars 2022.</w:t>
      </w:r>
    </w:p>
    <w:p w14:paraId="36718775" w14:textId="77777777" w:rsidR="00F5508C" w:rsidRPr="00F5508C" w:rsidRDefault="00F5508C" w:rsidP="00F5508C">
      <w:pPr>
        <w:pStyle w:val="Paragraphedeliste"/>
        <w:rPr>
          <w:rFonts w:eastAsiaTheme="majorEastAsia"/>
          <w:b w:val="0"/>
          <w:sz w:val="22"/>
          <w:u w:val="none"/>
        </w:rPr>
      </w:pPr>
    </w:p>
    <w:p w14:paraId="2B815DB6" w14:textId="7210CDBF" w:rsidR="00F468E8" w:rsidRPr="005F5FD8" w:rsidRDefault="00F468E8" w:rsidP="00F468E8">
      <w:pPr>
        <w:pStyle w:val="Paragraphedeliste"/>
        <w:numPr>
          <w:ilvl w:val="0"/>
          <w:numId w:val="11"/>
        </w:numPr>
        <w:jc w:val="both"/>
        <w:rPr>
          <w:rFonts w:eastAsiaTheme="majorEastAsia"/>
          <w:sz w:val="22"/>
        </w:rPr>
      </w:pPr>
      <w:r w:rsidRPr="005F5FD8">
        <w:rPr>
          <w:rFonts w:eastAsiaTheme="majorEastAsia"/>
          <w:b w:val="0"/>
          <w:sz w:val="22"/>
          <w:u w:val="none"/>
        </w:rPr>
        <w:t>Recommandations de bonnes pratiques professionnelles ANESM de juin 2017 : « L’accueil et l’accompagnement des personnes atteintes d’une maladie neurodégénérative en unité d’hébergement renforcé ».</w:t>
      </w:r>
    </w:p>
    <w:p w14:paraId="2EF2CE45" w14:textId="54888988" w:rsidR="00AC4512" w:rsidRPr="00A630EE" w:rsidRDefault="00AC4512" w:rsidP="00AC4512">
      <w:pPr>
        <w:pStyle w:val="Paragraphedeliste"/>
        <w:rPr>
          <w:rFonts w:eastAsiaTheme="majorEastAsia"/>
          <w:b w:val="0"/>
          <w:sz w:val="22"/>
          <w:u w:val="none"/>
        </w:rPr>
      </w:pPr>
    </w:p>
    <w:p w14:paraId="151113A8" w14:textId="60E059C2" w:rsidR="005F5FD8" w:rsidRPr="00A630EE" w:rsidRDefault="005F5FD8" w:rsidP="00AC4512">
      <w:pPr>
        <w:pStyle w:val="Paragraphedeliste"/>
        <w:rPr>
          <w:rFonts w:eastAsiaTheme="majorEastAsia"/>
          <w:b w:val="0"/>
          <w:sz w:val="22"/>
          <w:u w:val="none"/>
        </w:rPr>
      </w:pPr>
    </w:p>
    <w:p w14:paraId="19E061E9" w14:textId="5DF1FC34" w:rsidR="005F5FD8" w:rsidRPr="00A630EE" w:rsidRDefault="005F5FD8" w:rsidP="00AC4512">
      <w:pPr>
        <w:pStyle w:val="Paragraphedeliste"/>
        <w:rPr>
          <w:rFonts w:eastAsiaTheme="majorEastAsia"/>
          <w:b w:val="0"/>
          <w:sz w:val="22"/>
          <w:u w:val="none"/>
        </w:rPr>
      </w:pPr>
    </w:p>
    <w:p w14:paraId="27653C6C" w14:textId="39D7EDD2" w:rsidR="005F5FD8" w:rsidRPr="00A630EE" w:rsidRDefault="005F5FD8" w:rsidP="00AC4512">
      <w:pPr>
        <w:pStyle w:val="Paragraphedeliste"/>
        <w:rPr>
          <w:rFonts w:eastAsiaTheme="majorEastAsia"/>
          <w:b w:val="0"/>
          <w:sz w:val="22"/>
          <w:u w:val="none"/>
        </w:rPr>
      </w:pPr>
    </w:p>
    <w:p w14:paraId="2BCB6762" w14:textId="77777777" w:rsidR="005F5FD8" w:rsidRPr="00A630EE" w:rsidRDefault="005F5FD8" w:rsidP="00AC4512">
      <w:pPr>
        <w:pStyle w:val="Paragraphedeliste"/>
        <w:rPr>
          <w:rFonts w:eastAsiaTheme="majorEastAsia"/>
          <w:b w:val="0"/>
          <w:sz w:val="22"/>
          <w:u w:val="none"/>
        </w:rPr>
      </w:pPr>
    </w:p>
    <w:p w14:paraId="46927120" w14:textId="77777777" w:rsidR="00AC4512" w:rsidRPr="00A630EE" w:rsidRDefault="00AC4512" w:rsidP="00AC4512">
      <w:pPr>
        <w:pStyle w:val="Paragraphedeliste"/>
        <w:rPr>
          <w:rFonts w:eastAsiaTheme="majorEastAsia"/>
          <w:b w:val="0"/>
          <w:sz w:val="22"/>
          <w:u w:val="none"/>
        </w:rPr>
      </w:pPr>
    </w:p>
    <w:p w14:paraId="38FB9AC1" w14:textId="4CCFBFEB" w:rsidR="00EF220E" w:rsidRPr="00B978F6" w:rsidRDefault="0019752C" w:rsidP="008117F3">
      <w:pPr>
        <w:pStyle w:val="Titre1"/>
        <w:numPr>
          <w:ilvl w:val="0"/>
          <w:numId w:val="1"/>
        </w:numPr>
      </w:pPr>
      <w:r>
        <w:lastRenderedPageBreak/>
        <w:t>Contexte de l’appel à candidatures</w:t>
      </w:r>
    </w:p>
    <w:p w14:paraId="53BE3703" w14:textId="77777777" w:rsidR="00554B72" w:rsidRPr="00B978F6" w:rsidRDefault="00554B72" w:rsidP="008F7037">
      <w:pPr>
        <w:jc w:val="both"/>
      </w:pPr>
    </w:p>
    <w:p w14:paraId="24DCFDF4" w14:textId="50148E65" w:rsidR="003E588E" w:rsidRDefault="00307C86" w:rsidP="003E588E">
      <w:pPr>
        <w:jc w:val="both"/>
      </w:pPr>
      <w:r>
        <w:t>Face au défi lié à l’évolution démographique et au vieillissement de la population, l’Agence Régionale de Santé Grand-Est s’est fixée pour objectif de prévenir la perte d’autonomie liée à l’âge et d’accompagner la perte d’autonomie des personnes âgées dans le respect de leur lieu de vie.</w:t>
      </w:r>
    </w:p>
    <w:p w14:paraId="3FA7AAA8" w14:textId="71F12BB7" w:rsidR="00307C86" w:rsidRDefault="00307C86" w:rsidP="003E588E">
      <w:pPr>
        <w:jc w:val="both"/>
      </w:pPr>
      <w:r>
        <w:t>Les unités d’hébergement renforcé (UHR) ont été créées dans la cadre du plan Alzheimer 20</w:t>
      </w:r>
      <w:r w:rsidR="009C1733">
        <w:t>0</w:t>
      </w:r>
      <w:r>
        <w:t>8-2012, leur déploiement se poursuit dans la mesure 27 du plan Maladies neurodégénératives 2014-2019 (PMND).</w:t>
      </w:r>
    </w:p>
    <w:p w14:paraId="607498FE" w14:textId="11CD0A89" w:rsidR="003E588E" w:rsidRDefault="00307C86" w:rsidP="008F7037">
      <w:pPr>
        <w:jc w:val="both"/>
      </w:pPr>
      <w:r>
        <w:t>Le PASA est une réponse à la prise en charge des résidents atteints de la maladie d’Alzheimer et maladies apparentées dans la journée. Il apporte une réponse complémentaire aux unités déjà existantes comme les unités protégées, les unités pour personnes désorientées ainsi que les unités classiques d’EHPAD.</w:t>
      </w:r>
    </w:p>
    <w:p w14:paraId="0219D336" w14:textId="6309F419" w:rsidR="00307C86" w:rsidRDefault="00307C86" w:rsidP="008F7037">
      <w:pPr>
        <w:jc w:val="both"/>
      </w:pPr>
      <w:r>
        <w:t>L’UHR est quant à elle une réponse supplémentaire, notamment sur le niveau d’encadrement et d’hébergement. Les unités Alzheimer existantes peuvent candidater pour obtenir leur labellisation en tant qu</w:t>
      </w:r>
      <w:r w:rsidR="009C1733">
        <w:t>’</w:t>
      </w:r>
      <w:r>
        <w:t>UHR en fonction des besoins de la population qu’ils accueillent et du service qu’ils souhaitent leur apporter.</w:t>
      </w:r>
    </w:p>
    <w:p w14:paraId="1F115785" w14:textId="1635CCF0" w:rsidR="00307C86" w:rsidRDefault="007770D4" w:rsidP="008F7037">
      <w:pPr>
        <w:jc w:val="both"/>
      </w:pPr>
      <w:r>
        <w:t>La feuille de route pluriannuelle EHPAD – USLD parue le 17 mars 2022 est structurée autour de 5 axes visant à renforcer la médicalisation des EHPAD, afin de mieux accompagner les résidents. Parmi ces axes figure l’objectif de poursuivre le déploiement des PASA et UHR en EHPAD, qui permettent de mieux accompagner les résidents souffrant de la maladie d’Alzheimer et troubles apparentés.</w:t>
      </w:r>
    </w:p>
    <w:p w14:paraId="2903C40B" w14:textId="3A7AF338" w:rsidR="007770D4" w:rsidRDefault="007770D4" w:rsidP="008F7037">
      <w:pPr>
        <w:jc w:val="both"/>
      </w:pPr>
      <w:r>
        <w:t>Les PASA e</w:t>
      </w:r>
      <w:r w:rsidR="009C1733">
        <w:t>t</w:t>
      </w:r>
      <w:r>
        <w:t xml:space="preserve"> les UHR s’intègrent dans un projet d’établissement et un projet de soins qui peut comporter d’autres types de réponses adaptées à la prise en charge des résidents souffrant de la maladie d’Alzheimer ou autre maladie apparentée.</w:t>
      </w:r>
    </w:p>
    <w:p w14:paraId="2355DEBA" w14:textId="3C4D3D22" w:rsidR="007770D4" w:rsidRDefault="007770D4" w:rsidP="008F7037">
      <w:pPr>
        <w:jc w:val="both"/>
      </w:pPr>
      <w:r>
        <w:t>Les recommandations de bonnes pratiques professionnelles de la Haute Autorité de Santé (HAS) : « Maladie d’Alzheimer et maladies apparentées » : prise en charge des troubles du comportement perturbateurs » (Mai 2009), s’appliquent à ces deux types d’unités spécifiques. Ainsi, l’Agence Régionale de Santé Grand-Est poursuit l’objectif d’améliorer le parcours de santé des personnes atteintes d’une maladie neurodégénérative dans une logique d’inclusion.</w:t>
      </w:r>
    </w:p>
    <w:p w14:paraId="7A2F0B74" w14:textId="77777777" w:rsidR="00B14A8C" w:rsidRPr="00B978F6" w:rsidRDefault="00B14A8C" w:rsidP="008F7037">
      <w:pPr>
        <w:jc w:val="both"/>
      </w:pPr>
    </w:p>
    <w:p w14:paraId="6AF936DC" w14:textId="4D538388" w:rsidR="00554B72" w:rsidRPr="00B978F6" w:rsidRDefault="00554B72" w:rsidP="008117F3">
      <w:pPr>
        <w:pStyle w:val="Titre1"/>
        <w:numPr>
          <w:ilvl w:val="0"/>
          <w:numId w:val="1"/>
        </w:numPr>
      </w:pPr>
      <w:bookmarkStart w:id="0" w:name="_Toc103684702"/>
      <w:r w:rsidRPr="00B978F6">
        <w:t>C</w:t>
      </w:r>
      <w:bookmarkEnd w:id="0"/>
      <w:r w:rsidR="0019752C">
        <w:t>ahier des charges</w:t>
      </w:r>
    </w:p>
    <w:p w14:paraId="128F5509" w14:textId="7EEF1B7A" w:rsidR="00554B72" w:rsidRPr="00B978F6" w:rsidRDefault="00554B72" w:rsidP="00554B72"/>
    <w:p w14:paraId="1EE302D4" w14:textId="31FA2055" w:rsidR="00E22F22" w:rsidRPr="00B978F6" w:rsidRDefault="0019752C" w:rsidP="00E22F22">
      <w:pPr>
        <w:pStyle w:val="Titre2"/>
        <w:numPr>
          <w:ilvl w:val="1"/>
          <w:numId w:val="1"/>
        </w:numPr>
      </w:pPr>
      <w:r>
        <w:t>Le public cible</w:t>
      </w:r>
    </w:p>
    <w:p w14:paraId="05F04FDE" w14:textId="77777777" w:rsidR="00E22F22" w:rsidRPr="00B978F6" w:rsidRDefault="00E22F22" w:rsidP="00376EB2">
      <w:pPr>
        <w:jc w:val="both"/>
      </w:pPr>
    </w:p>
    <w:p w14:paraId="1A5C09D7" w14:textId="069F2F4A" w:rsidR="00E22F22" w:rsidRDefault="007770D4" w:rsidP="00E22F22">
      <w:pPr>
        <w:pStyle w:val="Sansinterligne"/>
        <w:jc w:val="both"/>
      </w:pPr>
      <w:r>
        <w:t>Les UHR proposent un hébergement séquentiel aux personnes souffrant de la maladie d’Alzheimer ou d’une maladie apparentée, compliquée de symptômes psycho-comportementaux sévères consécutifs à un syndrome démentiel, qui altèrent la sécurité et la qualité de vie de la p</w:t>
      </w:r>
      <w:r w:rsidR="00FC1B6B">
        <w:t>ersonne et des autres résidents (dont l’évaluation et le bilan des symptômes auront été réalisés à l’aide du NPI-ES et, en cas d’agitation, de l’échelle d’agitation de Cohen-Mansfield</w:t>
      </w:r>
      <w:r w:rsidR="008E411C">
        <w:t>.</w:t>
      </w:r>
    </w:p>
    <w:p w14:paraId="23E5D3C5" w14:textId="5EA30A88" w:rsidR="008E411C" w:rsidRDefault="008E411C" w:rsidP="00E22F22">
      <w:pPr>
        <w:pStyle w:val="Sansinterligne"/>
        <w:jc w:val="both"/>
      </w:pPr>
    </w:p>
    <w:p w14:paraId="2FD7E830" w14:textId="5560D912" w:rsidR="008E411C" w:rsidRDefault="008E411C" w:rsidP="00E22F22">
      <w:pPr>
        <w:pStyle w:val="Sansinterligne"/>
        <w:jc w:val="both"/>
      </w:pPr>
      <w:r>
        <w:lastRenderedPageBreak/>
        <w:t>L’UHR accueille des personnes venant du domicile, de l’USLD ou de l’EHPAD dans lequel est situé l’UHR ou d’un autre établissement.</w:t>
      </w:r>
    </w:p>
    <w:p w14:paraId="7F745A2E" w14:textId="313968EC" w:rsidR="008E411C" w:rsidRDefault="008E411C" w:rsidP="00E22F22">
      <w:pPr>
        <w:pStyle w:val="Sansinterligne"/>
        <w:jc w:val="both"/>
      </w:pPr>
    </w:p>
    <w:p w14:paraId="027B0100" w14:textId="4D2FC0CE" w:rsidR="008E411C" w:rsidRDefault="00591332" w:rsidP="00E22F22">
      <w:pPr>
        <w:pStyle w:val="Sansinterligne"/>
        <w:jc w:val="both"/>
      </w:pPr>
      <w:r>
        <w:t xml:space="preserve">Les résidents accueillis pourront également provenir d’une Unité </w:t>
      </w:r>
      <w:proofErr w:type="spellStart"/>
      <w:r>
        <w:t>Cognitivo</w:t>
      </w:r>
      <w:proofErr w:type="spellEnd"/>
      <w:r>
        <w:t>-Comportementale (UCC) de proximité, le cas échéant, lorsque les troubles sévères sont stabilisés et qu’un hébergement de transition est souhaitable avant le retour à domicile ou en hébergement institutionnel « classique ».</w:t>
      </w:r>
    </w:p>
    <w:p w14:paraId="52270935" w14:textId="75B0B579" w:rsidR="007770D4" w:rsidRDefault="007770D4" w:rsidP="00E22F22">
      <w:pPr>
        <w:pStyle w:val="Sansinterligne"/>
        <w:jc w:val="both"/>
      </w:pPr>
    </w:p>
    <w:p w14:paraId="172EC770" w14:textId="7AC8D824" w:rsidR="007770D4" w:rsidRDefault="0035292C" w:rsidP="00E22F22">
      <w:pPr>
        <w:pStyle w:val="Sansinterligne"/>
        <w:jc w:val="both"/>
      </w:pPr>
      <w:r>
        <w:t>L’objectif de l’accueil et de l’approche thérapeutiques des UHR vise à améliorer les troubles psycho-comportementaux des personnes accueillies et de limiter le recours aux psychotropes et aux neuroleptiques en proposant un accueil et des activités adaptés afin que la personne, une fois les symptômes psycho-comportementaux stabilisés, puisse revenir au sein de son lieu d’hébergement initial ou au sein d’un établissement adapté.</w:t>
      </w:r>
    </w:p>
    <w:p w14:paraId="0618C9F4" w14:textId="77777777" w:rsidR="0035292C" w:rsidRDefault="0035292C" w:rsidP="00E22F22">
      <w:pPr>
        <w:pStyle w:val="Sansinterligne"/>
        <w:jc w:val="both"/>
      </w:pPr>
    </w:p>
    <w:p w14:paraId="58168440" w14:textId="77777777" w:rsidR="007770D4" w:rsidRPr="00B978F6" w:rsidRDefault="007770D4" w:rsidP="00E22F22">
      <w:pPr>
        <w:pStyle w:val="Sansinterligne"/>
        <w:jc w:val="both"/>
      </w:pPr>
    </w:p>
    <w:p w14:paraId="57F2414A" w14:textId="7583D058" w:rsidR="00E22F22" w:rsidRPr="00B978F6" w:rsidRDefault="0019752C" w:rsidP="00E22F22">
      <w:pPr>
        <w:pStyle w:val="Titre2"/>
        <w:numPr>
          <w:ilvl w:val="1"/>
          <w:numId w:val="1"/>
        </w:numPr>
      </w:pPr>
      <w:r>
        <w:t xml:space="preserve">Porteur et </w:t>
      </w:r>
      <w:proofErr w:type="spellStart"/>
      <w:r>
        <w:t>pré-requis</w:t>
      </w:r>
      <w:proofErr w:type="spellEnd"/>
    </w:p>
    <w:p w14:paraId="03BF98F7" w14:textId="2CC5C2AD" w:rsidR="00E22F22" w:rsidRDefault="00E22F22" w:rsidP="00E22F22"/>
    <w:p w14:paraId="2CE3D3C3" w14:textId="4BEB2E0D" w:rsidR="00F032F3" w:rsidRDefault="00EB516F" w:rsidP="009F1C0F">
      <w:pPr>
        <w:jc w:val="both"/>
      </w:pPr>
      <w:r>
        <w:t>Cet appel à candidatures s’adresse aux EH</w:t>
      </w:r>
      <w:r w:rsidR="00BC602F">
        <w:t>PAD du département des Ardennes.</w:t>
      </w:r>
    </w:p>
    <w:p w14:paraId="3FFC4590" w14:textId="46529E84" w:rsidR="00BC00D5" w:rsidRDefault="00EB516F" w:rsidP="009F1C0F">
      <w:pPr>
        <w:jc w:val="both"/>
      </w:pPr>
      <w:r w:rsidRPr="00C904DF">
        <w:rPr>
          <w:u w:val="single"/>
        </w:rPr>
        <w:t xml:space="preserve">Les </w:t>
      </w:r>
      <w:proofErr w:type="spellStart"/>
      <w:r w:rsidRPr="00C904DF">
        <w:rPr>
          <w:u w:val="single"/>
        </w:rPr>
        <w:t>pré-requis</w:t>
      </w:r>
      <w:proofErr w:type="spellEnd"/>
      <w:r w:rsidRPr="00C904DF">
        <w:rPr>
          <w:u w:val="single"/>
        </w:rPr>
        <w:t xml:space="preserve"> sont les suivants </w:t>
      </w:r>
      <w:r>
        <w:t>:</w:t>
      </w:r>
    </w:p>
    <w:p w14:paraId="6A980551" w14:textId="4FD8FB4B" w:rsidR="00EB516F" w:rsidRDefault="00C904DF" w:rsidP="009F1C0F">
      <w:pPr>
        <w:jc w:val="both"/>
      </w:pPr>
      <w:r>
        <w:t>L’établissement doit être bien identifié sur son territoire en matière de parcours de la prise en charge des personnes atteintes de la maladie d’Alzheimer ou maladies apparentées et de toute autre maladie neuro-évolutive disposant notamment d’un bon partenariat avec le secteur psychiatrique et les acteurs de la filière gériatrique. Il doit disposer d’une expérience en matière de troubles cognitifs et de travail en réseau.</w:t>
      </w:r>
    </w:p>
    <w:p w14:paraId="299321F1" w14:textId="77777777" w:rsidR="00C904DF" w:rsidRDefault="00C904DF" w:rsidP="009F1C0F">
      <w:pPr>
        <w:pStyle w:val="Sansinterligne"/>
        <w:jc w:val="both"/>
      </w:pPr>
      <w:r>
        <w:t>En fonction de l’offre disponible sur le territoire, l’établissement qui créé une unité d’hébergement renforcée devra définir et formaliser des partenariats sous la forme de conventions avec :</w:t>
      </w:r>
    </w:p>
    <w:p w14:paraId="0C89F298" w14:textId="77777777" w:rsidR="00C904DF" w:rsidRDefault="00C904DF" w:rsidP="009F1C0F">
      <w:pPr>
        <w:pStyle w:val="Sansinterligne"/>
        <w:jc w:val="both"/>
      </w:pPr>
    </w:p>
    <w:p w14:paraId="232C751B" w14:textId="77777777" w:rsidR="00C904DF" w:rsidRDefault="00C904DF" w:rsidP="009F1C0F">
      <w:pPr>
        <w:pStyle w:val="Sansinterligne"/>
        <w:numPr>
          <w:ilvl w:val="0"/>
          <w:numId w:val="10"/>
        </w:numPr>
        <w:jc w:val="both"/>
      </w:pPr>
      <w:r>
        <w:t>Les EHPAD et USLD du territoire.</w:t>
      </w:r>
    </w:p>
    <w:p w14:paraId="7B955603" w14:textId="77777777" w:rsidR="00C904DF" w:rsidRDefault="00C904DF" w:rsidP="009F1C0F">
      <w:pPr>
        <w:pStyle w:val="Sansinterligne"/>
        <w:ind w:left="720"/>
        <w:jc w:val="both"/>
      </w:pPr>
    </w:p>
    <w:p w14:paraId="2B119CB0" w14:textId="77777777" w:rsidR="00C904DF" w:rsidRDefault="00C904DF" w:rsidP="009F1C0F">
      <w:pPr>
        <w:pStyle w:val="Sansinterligne"/>
        <w:numPr>
          <w:ilvl w:val="0"/>
          <w:numId w:val="10"/>
        </w:numPr>
        <w:jc w:val="both"/>
      </w:pPr>
      <w:r>
        <w:t xml:space="preserve">Les Unités </w:t>
      </w:r>
      <w:proofErr w:type="spellStart"/>
      <w:r>
        <w:t>Cognitivo</w:t>
      </w:r>
      <w:proofErr w:type="spellEnd"/>
      <w:r>
        <w:t>-Comportementale (UCC) du territoire.</w:t>
      </w:r>
    </w:p>
    <w:p w14:paraId="5DB4DF7B" w14:textId="77777777" w:rsidR="00C904DF" w:rsidRDefault="00C904DF" w:rsidP="009F1C0F">
      <w:pPr>
        <w:pStyle w:val="Sansinterligne"/>
        <w:ind w:left="720"/>
        <w:jc w:val="both"/>
      </w:pPr>
    </w:p>
    <w:p w14:paraId="7EEE5FD3" w14:textId="77777777" w:rsidR="00C904DF" w:rsidRDefault="00C904DF" w:rsidP="009F1C0F">
      <w:pPr>
        <w:pStyle w:val="Sansinterligne"/>
        <w:numPr>
          <w:ilvl w:val="0"/>
          <w:numId w:val="10"/>
        </w:numPr>
        <w:jc w:val="both"/>
      </w:pPr>
      <w:r>
        <w:t>Les acteurs de la filière gériatrique (service de court séjour gériatrique, équipe mobile de gériatrie, …).</w:t>
      </w:r>
    </w:p>
    <w:p w14:paraId="19DF224F" w14:textId="77777777" w:rsidR="00C904DF" w:rsidRDefault="00C904DF" w:rsidP="009F1C0F">
      <w:pPr>
        <w:pStyle w:val="Sansinterligne"/>
        <w:ind w:left="720"/>
        <w:jc w:val="both"/>
      </w:pPr>
    </w:p>
    <w:p w14:paraId="2033DF88" w14:textId="77777777" w:rsidR="00C904DF" w:rsidRDefault="00C904DF" w:rsidP="009F1C0F">
      <w:pPr>
        <w:pStyle w:val="Sansinterligne"/>
        <w:numPr>
          <w:ilvl w:val="0"/>
          <w:numId w:val="10"/>
        </w:numPr>
        <w:jc w:val="both"/>
      </w:pPr>
      <w:r>
        <w:t>Les acteurs de la filière psychiatrique (CMP, service de psychogériatrie, équipe mobile de psychiatrie).</w:t>
      </w:r>
    </w:p>
    <w:p w14:paraId="01132C0B" w14:textId="77777777" w:rsidR="00C904DF" w:rsidRDefault="00C904DF" w:rsidP="009F1C0F">
      <w:pPr>
        <w:pStyle w:val="Sansinterligne"/>
        <w:ind w:left="720"/>
        <w:jc w:val="both"/>
      </w:pPr>
    </w:p>
    <w:p w14:paraId="578D47FC" w14:textId="77777777" w:rsidR="00C904DF" w:rsidRDefault="00C904DF" w:rsidP="009F1C0F">
      <w:pPr>
        <w:pStyle w:val="Sansinterligne"/>
        <w:numPr>
          <w:ilvl w:val="0"/>
          <w:numId w:val="10"/>
        </w:numPr>
        <w:jc w:val="both"/>
      </w:pPr>
      <w:r>
        <w:t>Le Dispositif d’Appui à la Coordination (DAC).</w:t>
      </w:r>
    </w:p>
    <w:p w14:paraId="620F6BE8" w14:textId="77777777" w:rsidR="00C904DF" w:rsidRDefault="00C904DF" w:rsidP="009F1C0F">
      <w:pPr>
        <w:pStyle w:val="Sansinterligne"/>
        <w:jc w:val="both"/>
      </w:pPr>
    </w:p>
    <w:p w14:paraId="04AB9507" w14:textId="77777777" w:rsidR="00C904DF" w:rsidRDefault="00C904DF" w:rsidP="00C904DF">
      <w:pPr>
        <w:pStyle w:val="Sansinterligne"/>
        <w:jc w:val="both"/>
      </w:pPr>
    </w:p>
    <w:p w14:paraId="4580D6AE" w14:textId="77777777" w:rsidR="00C904DF" w:rsidRDefault="00C904DF" w:rsidP="009F1C0F">
      <w:pPr>
        <w:pStyle w:val="Sansinterligne"/>
        <w:jc w:val="both"/>
      </w:pPr>
      <w:r>
        <w:t>Concernant le retour sur le lieu de vie initial, le candidat devra également développer des partenariats avec les services d’aval.</w:t>
      </w:r>
    </w:p>
    <w:p w14:paraId="7AB8A055" w14:textId="77777777" w:rsidR="00C904DF" w:rsidRDefault="00C904DF" w:rsidP="009F1C0F">
      <w:pPr>
        <w:pStyle w:val="Sansinterligne"/>
        <w:jc w:val="both"/>
      </w:pPr>
    </w:p>
    <w:p w14:paraId="17EBD5E4" w14:textId="77777777" w:rsidR="00C904DF" w:rsidRDefault="00C904DF" w:rsidP="009F1C0F">
      <w:pPr>
        <w:pStyle w:val="Sansinterligne"/>
        <w:jc w:val="both"/>
      </w:pPr>
      <w:r>
        <w:t>Les EHPAD proposant des modes d’intervention ou modalités d’accompagnement spécifiques pourront les valoriser en lien avec la future organisation de l’UHR (télémédecine, IDE de nuit, unité spécifique Alzheimer, …).</w:t>
      </w:r>
    </w:p>
    <w:p w14:paraId="03CE0170" w14:textId="77777777" w:rsidR="009C1733" w:rsidRDefault="009C1733" w:rsidP="009F1C0F">
      <w:pPr>
        <w:jc w:val="both"/>
      </w:pPr>
    </w:p>
    <w:p w14:paraId="00CB48C3" w14:textId="6D662CB5" w:rsidR="00596A64" w:rsidRDefault="00596A64" w:rsidP="009F1C0F">
      <w:pPr>
        <w:jc w:val="both"/>
      </w:pPr>
      <w:r>
        <w:t>Par ailleurs, seront privilégiés les projets permettant de compléter le maillage territorial et s’appuyant sur une analyse des besoins du territoire.</w:t>
      </w:r>
    </w:p>
    <w:p w14:paraId="50396F46" w14:textId="77777777" w:rsidR="00C904DF" w:rsidRDefault="00C904DF" w:rsidP="009F1C0F">
      <w:pPr>
        <w:jc w:val="both"/>
      </w:pPr>
    </w:p>
    <w:p w14:paraId="5C02FA47" w14:textId="00FD280A" w:rsidR="00554B72" w:rsidRPr="00B978F6" w:rsidRDefault="0019752C" w:rsidP="008117F3">
      <w:pPr>
        <w:pStyle w:val="Titre2"/>
        <w:numPr>
          <w:ilvl w:val="1"/>
          <w:numId w:val="1"/>
        </w:numPr>
      </w:pPr>
      <w:r>
        <w:t>Modalités de fonctionnement</w:t>
      </w:r>
    </w:p>
    <w:p w14:paraId="71ED84BD" w14:textId="1943A653" w:rsidR="00DA3FB5" w:rsidRPr="00B978F6" w:rsidRDefault="00DA3FB5" w:rsidP="00877E5F"/>
    <w:p w14:paraId="51100180" w14:textId="06B19EDC" w:rsidR="00712AFC" w:rsidRDefault="00712AFC" w:rsidP="00CF08E2">
      <w:pPr>
        <w:pStyle w:val="Sansinterligne"/>
        <w:jc w:val="both"/>
      </w:pPr>
      <w:r>
        <w:t xml:space="preserve">L’Unité d’Hébergement Renforcée (UHR), d’une capacité de 12 à 14 résidents dans les EHPAD </w:t>
      </w:r>
      <w:r w:rsidR="009C1733">
        <w:t>et les USLD</w:t>
      </w:r>
      <w:r>
        <w:t xml:space="preserve">, est un lieu de vie et de soins qui fonctionne nuit et jour. </w:t>
      </w:r>
      <w:r w:rsidR="009C1733">
        <w:t>Elle</w:t>
      </w:r>
      <w:r>
        <w:t xml:space="preserve"> propose sur un même lieu d’hébergement les soins, les activités sociales et thérapeutiques pour des résidents ayant des troubles du comportement sévère.</w:t>
      </w:r>
    </w:p>
    <w:p w14:paraId="4A18F30F" w14:textId="467C2D5F" w:rsidR="00596A64" w:rsidRDefault="00596A64" w:rsidP="00CF08E2">
      <w:pPr>
        <w:pStyle w:val="Sansinterligne"/>
        <w:jc w:val="both"/>
      </w:pPr>
    </w:p>
    <w:p w14:paraId="24E56743" w14:textId="37594DD8" w:rsidR="00596A64" w:rsidRDefault="00596A64" w:rsidP="00CF08E2">
      <w:pPr>
        <w:pStyle w:val="Sansinterligne"/>
        <w:jc w:val="both"/>
      </w:pPr>
      <w:r>
        <w:t>Le projet de soins et le programme d’activités sont élaborés sous l’autorité du médecin coordonnateur de l’EHPAD</w:t>
      </w:r>
      <w:r w:rsidR="009C1733">
        <w:t xml:space="preserve"> ou du médecin de l’USLD</w:t>
      </w:r>
      <w:r>
        <w:t>, en lien avec le médecin traitant.</w:t>
      </w:r>
    </w:p>
    <w:p w14:paraId="2C6B2E90" w14:textId="5D2C4780" w:rsidR="00397E1D" w:rsidRDefault="00397E1D" w:rsidP="00CF08E2">
      <w:pPr>
        <w:pStyle w:val="Sansinterligne"/>
        <w:jc w:val="both"/>
      </w:pPr>
    </w:p>
    <w:p w14:paraId="06BFE2EE" w14:textId="178AC1B1" w:rsidR="00397E1D" w:rsidRDefault="00397E1D" w:rsidP="00CF08E2">
      <w:pPr>
        <w:pStyle w:val="Sansinterligne"/>
        <w:jc w:val="both"/>
      </w:pPr>
      <w:r>
        <w:t>Le projet spécifique de l’UHR prévoit les modalités de fonctionnement de l’unité qui répond obligatoirement aux critères suivants :</w:t>
      </w:r>
    </w:p>
    <w:p w14:paraId="41356995" w14:textId="43AA777C" w:rsidR="00397E1D" w:rsidRDefault="00397E1D" w:rsidP="00397E1D">
      <w:pPr>
        <w:pStyle w:val="Sansinterligne"/>
        <w:jc w:val="both"/>
      </w:pPr>
    </w:p>
    <w:p w14:paraId="7DB69A39" w14:textId="42964BC0" w:rsidR="00397E1D" w:rsidRDefault="00397E1D" w:rsidP="00397E1D">
      <w:pPr>
        <w:pStyle w:val="Sansinterligne"/>
        <w:jc w:val="both"/>
      </w:pPr>
      <w:r>
        <w:rPr>
          <w:i/>
          <w:u w:val="single"/>
        </w:rPr>
        <w:t>L’a</w:t>
      </w:r>
      <w:r w:rsidRPr="00397E1D">
        <w:rPr>
          <w:i/>
          <w:u w:val="single"/>
        </w:rPr>
        <w:t>ccompagnement à effet thérapeutique</w:t>
      </w:r>
      <w:r>
        <w:t> :</w:t>
      </w:r>
    </w:p>
    <w:p w14:paraId="66E2FE90" w14:textId="77777777" w:rsidR="00397E1D" w:rsidRDefault="00397E1D" w:rsidP="00397E1D">
      <w:pPr>
        <w:pStyle w:val="Sansinterligne"/>
        <w:jc w:val="both"/>
      </w:pPr>
    </w:p>
    <w:p w14:paraId="44622667" w14:textId="6EC6E0F8" w:rsidR="00397E1D" w:rsidRDefault="00397E1D" w:rsidP="00397E1D">
      <w:pPr>
        <w:pStyle w:val="Sansinterligne"/>
        <w:jc w:val="both"/>
      </w:pPr>
      <w:r w:rsidRPr="00B14A8C">
        <w:rPr>
          <w:u w:val="single"/>
        </w:rPr>
        <w:t>L’unité propose des activités individuelles ou collectives qui concourent</w:t>
      </w:r>
      <w:r>
        <w:t> :</w:t>
      </w:r>
    </w:p>
    <w:p w14:paraId="5EB185B9" w14:textId="77777777" w:rsidR="00B14A8C" w:rsidRDefault="00B14A8C" w:rsidP="00397E1D">
      <w:pPr>
        <w:pStyle w:val="Sansinterligne"/>
        <w:jc w:val="both"/>
      </w:pPr>
    </w:p>
    <w:p w14:paraId="24A87950" w14:textId="09A7D046" w:rsidR="00397E1D" w:rsidRDefault="00397E1D" w:rsidP="00397E1D">
      <w:pPr>
        <w:pStyle w:val="Sansinterligne"/>
        <w:numPr>
          <w:ilvl w:val="0"/>
          <w:numId w:val="11"/>
        </w:numPr>
        <w:jc w:val="both"/>
      </w:pPr>
      <w:r>
        <w:t>Au maintien ou à la réhabilitation des capacités fonctionnelles restantes (ergothérapie, cuisine, activités physiques, …).</w:t>
      </w:r>
    </w:p>
    <w:p w14:paraId="05EDBF43" w14:textId="77777777" w:rsidR="00B14A8C" w:rsidRDefault="00B14A8C" w:rsidP="00B14A8C">
      <w:pPr>
        <w:pStyle w:val="Sansinterligne"/>
        <w:ind w:left="720"/>
        <w:jc w:val="both"/>
      </w:pPr>
    </w:p>
    <w:p w14:paraId="58995987" w14:textId="61924EC0" w:rsidR="00397E1D" w:rsidRDefault="00397E1D" w:rsidP="00397E1D">
      <w:pPr>
        <w:pStyle w:val="Sansinterligne"/>
        <w:numPr>
          <w:ilvl w:val="0"/>
          <w:numId w:val="11"/>
        </w:numPr>
        <w:jc w:val="both"/>
      </w:pPr>
      <w:r>
        <w:t>Au maintien ou à la réhabilitation des fonctions cognitives restantes (stimulation mémoire, jardinage, …).</w:t>
      </w:r>
    </w:p>
    <w:p w14:paraId="3DC02027" w14:textId="77777777" w:rsidR="00B14A8C" w:rsidRPr="00B14A8C" w:rsidRDefault="00B14A8C" w:rsidP="00B14A8C">
      <w:pPr>
        <w:pStyle w:val="Paragraphedeliste"/>
        <w:spacing w:line="240" w:lineRule="auto"/>
        <w:rPr>
          <w:b w:val="0"/>
          <w:u w:val="none"/>
        </w:rPr>
      </w:pPr>
    </w:p>
    <w:p w14:paraId="03A07CB1" w14:textId="487C284D" w:rsidR="00397E1D" w:rsidRDefault="00397E1D" w:rsidP="00397E1D">
      <w:pPr>
        <w:pStyle w:val="Sansinterligne"/>
        <w:numPr>
          <w:ilvl w:val="0"/>
          <w:numId w:val="11"/>
        </w:numPr>
        <w:jc w:val="both"/>
      </w:pPr>
      <w:r>
        <w:t>A la mobilisation des fonctions sensorielles (stimulation, musicothérapie, …).</w:t>
      </w:r>
    </w:p>
    <w:p w14:paraId="61819FF3" w14:textId="77777777" w:rsidR="00B14A8C" w:rsidRPr="003C6CF6" w:rsidRDefault="00B14A8C" w:rsidP="00B14A8C">
      <w:pPr>
        <w:pStyle w:val="Paragraphedeliste"/>
        <w:spacing w:line="240" w:lineRule="auto"/>
        <w:rPr>
          <w:b w:val="0"/>
          <w:sz w:val="22"/>
          <w:u w:val="none"/>
        </w:rPr>
      </w:pPr>
    </w:p>
    <w:p w14:paraId="433354B6" w14:textId="5B0572D4" w:rsidR="00397E1D" w:rsidRDefault="00397E1D" w:rsidP="00397E1D">
      <w:pPr>
        <w:pStyle w:val="Sansinterligne"/>
        <w:numPr>
          <w:ilvl w:val="0"/>
          <w:numId w:val="11"/>
        </w:numPr>
        <w:jc w:val="both"/>
      </w:pPr>
      <w:r>
        <w:t>Au maintien du lien social des résidents (repas, art-thérapie, …).</w:t>
      </w:r>
    </w:p>
    <w:p w14:paraId="7B131F7B" w14:textId="3030F541" w:rsidR="00397E1D" w:rsidRDefault="00397E1D" w:rsidP="00397E1D">
      <w:pPr>
        <w:pStyle w:val="Sansinterligne"/>
        <w:jc w:val="both"/>
      </w:pPr>
    </w:p>
    <w:p w14:paraId="613D85DE" w14:textId="77777777" w:rsidR="003C6CF6" w:rsidRDefault="003C6CF6" w:rsidP="00397E1D">
      <w:pPr>
        <w:pStyle w:val="Sansinterligne"/>
        <w:jc w:val="both"/>
      </w:pPr>
    </w:p>
    <w:p w14:paraId="057DBA88" w14:textId="5113B7C5" w:rsidR="00397E1D" w:rsidRDefault="00397E1D" w:rsidP="00397E1D">
      <w:pPr>
        <w:pStyle w:val="Sansinterligne"/>
        <w:jc w:val="both"/>
      </w:pPr>
      <w:r>
        <w:t>Les activités seront proposées pour des groupes homogènes de résidents selon la nature des troubles du comportement (perturbateurs ou non).</w:t>
      </w:r>
    </w:p>
    <w:p w14:paraId="7C7DE604" w14:textId="3E2A5A10" w:rsidR="00397E1D" w:rsidRDefault="00397E1D" w:rsidP="00397E1D">
      <w:pPr>
        <w:pStyle w:val="Sansinterligne"/>
        <w:jc w:val="both"/>
      </w:pPr>
    </w:p>
    <w:p w14:paraId="79CDEB94" w14:textId="187CBCD7" w:rsidR="00397E1D" w:rsidRDefault="00397E1D" w:rsidP="00397E1D">
      <w:pPr>
        <w:pStyle w:val="Sansinterligne"/>
        <w:jc w:val="both"/>
      </w:pPr>
      <w:r>
        <w:t>Chaque type d’activité est organisé au moins une fois par semaine, y compris le week-end.</w:t>
      </w:r>
    </w:p>
    <w:p w14:paraId="654B178F" w14:textId="7FB54A9D" w:rsidR="00712AFC" w:rsidRDefault="00712AFC" w:rsidP="00CF08E2">
      <w:pPr>
        <w:pStyle w:val="Sansinterligne"/>
        <w:jc w:val="both"/>
      </w:pPr>
    </w:p>
    <w:p w14:paraId="68FC7141" w14:textId="77777777" w:rsidR="00F45BDF" w:rsidRDefault="00F45BDF" w:rsidP="00CF08E2">
      <w:pPr>
        <w:pStyle w:val="Sansinterligne"/>
        <w:jc w:val="both"/>
      </w:pPr>
    </w:p>
    <w:p w14:paraId="7038B467" w14:textId="76B4E466" w:rsidR="00397E1D" w:rsidRPr="00397E1D" w:rsidRDefault="00397E1D" w:rsidP="00CF08E2">
      <w:pPr>
        <w:pStyle w:val="Sansinterligne"/>
        <w:jc w:val="both"/>
        <w:rPr>
          <w:i/>
          <w:u w:val="single"/>
        </w:rPr>
      </w:pPr>
      <w:r w:rsidRPr="00397E1D">
        <w:rPr>
          <w:i/>
          <w:u w:val="single"/>
        </w:rPr>
        <w:t>Les modalités d’accompagnement et soins appropriés :</w:t>
      </w:r>
    </w:p>
    <w:p w14:paraId="14AB0AE7" w14:textId="77B30FAE" w:rsidR="00397E1D" w:rsidRDefault="00397E1D" w:rsidP="00CF08E2">
      <w:pPr>
        <w:pStyle w:val="Sansinterligne"/>
        <w:jc w:val="both"/>
      </w:pPr>
    </w:p>
    <w:p w14:paraId="2B6D7508" w14:textId="0758F5B5" w:rsidR="00397E1D" w:rsidRDefault="00397E1D" w:rsidP="00CF08E2">
      <w:pPr>
        <w:pStyle w:val="Sansinterligne"/>
        <w:jc w:val="both"/>
      </w:pPr>
      <w:r>
        <w:t>Les principales techniques énoncées ci-dessous, qui constituent le projet d’accompagnement et de soins, font l’objet d’un protocole qui sera suivi et évalué :</w:t>
      </w:r>
    </w:p>
    <w:p w14:paraId="7AD6C803" w14:textId="77777777" w:rsidR="00C27E75" w:rsidRDefault="00C27E75" w:rsidP="00CF08E2">
      <w:pPr>
        <w:pStyle w:val="Sansinterligne"/>
        <w:jc w:val="both"/>
      </w:pPr>
    </w:p>
    <w:p w14:paraId="0167CFA2" w14:textId="1A3E7623" w:rsidR="00397E1D" w:rsidRDefault="00397E1D" w:rsidP="00397E1D">
      <w:pPr>
        <w:pStyle w:val="Sansinterligne"/>
        <w:numPr>
          <w:ilvl w:val="0"/>
          <w:numId w:val="11"/>
        </w:numPr>
        <w:jc w:val="both"/>
      </w:pPr>
      <w:r>
        <w:t>La prise en charge des troubles du comportement lors de la toilette, de la prise des repas, …</w:t>
      </w:r>
    </w:p>
    <w:p w14:paraId="6946E4DE" w14:textId="77777777" w:rsidR="00C27E75" w:rsidRDefault="00C27E75" w:rsidP="00C27E75">
      <w:pPr>
        <w:pStyle w:val="Sansinterligne"/>
        <w:ind w:left="720"/>
        <w:jc w:val="both"/>
      </w:pPr>
    </w:p>
    <w:p w14:paraId="125B5A16" w14:textId="09F885AE" w:rsidR="00397E1D" w:rsidRDefault="00397E1D" w:rsidP="00397E1D">
      <w:pPr>
        <w:pStyle w:val="Sansinterligne"/>
        <w:numPr>
          <w:ilvl w:val="0"/>
          <w:numId w:val="11"/>
        </w:numPr>
        <w:jc w:val="both"/>
      </w:pPr>
      <w:r>
        <w:t>Le suivi de l’évolution de la maladie et l’apparition de nouveaux symptômes</w:t>
      </w:r>
      <w:r w:rsidR="00C27E75">
        <w:t>.</w:t>
      </w:r>
    </w:p>
    <w:p w14:paraId="523CA3A2" w14:textId="77777777" w:rsidR="00C27E75" w:rsidRDefault="00C27E75" w:rsidP="00C27E75">
      <w:pPr>
        <w:pStyle w:val="Sansinterligne"/>
        <w:ind w:left="720"/>
        <w:jc w:val="both"/>
      </w:pPr>
    </w:p>
    <w:p w14:paraId="76628038" w14:textId="030B04F9" w:rsidR="00397E1D" w:rsidRDefault="00397E1D" w:rsidP="00397E1D">
      <w:pPr>
        <w:pStyle w:val="Sansinterligne"/>
        <w:numPr>
          <w:ilvl w:val="0"/>
          <w:numId w:val="11"/>
        </w:numPr>
        <w:jc w:val="both"/>
      </w:pPr>
      <w:r>
        <w:t>Les stratégies alternatives à la contention.</w:t>
      </w:r>
    </w:p>
    <w:p w14:paraId="58CA637A" w14:textId="77777777" w:rsidR="00C27E75" w:rsidRDefault="00C27E75" w:rsidP="00C27E75">
      <w:pPr>
        <w:pStyle w:val="Sansinterligne"/>
        <w:ind w:left="720"/>
        <w:jc w:val="both"/>
      </w:pPr>
    </w:p>
    <w:p w14:paraId="4E39527D" w14:textId="22402EBE" w:rsidR="00397E1D" w:rsidRDefault="00397E1D" w:rsidP="00397E1D">
      <w:pPr>
        <w:pStyle w:val="Sansinterligne"/>
        <w:numPr>
          <w:ilvl w:val="0"/>
          <w:numId w:val="11"/>
        </w:numPr>
        <w:jc w:val="both"/>
      </w:pPr>
      <w:r>
        <w:t>La bonne utilisation des thérapeutiques sédatives.</w:t>
      </w:r>
    </w:p>
    <w:p w14:paraId="134DF1B6" w14:textId="77777777" w:rsidR="00C27E75" w:rsidRDefault="00C27E75" w:rsidP="00C27E75">
      <w:pPr>
        <w:pStyle w:val="Sansinterligne"/>
        <w:ind w:left="720"/>
        <w:jc w:val="both"/>
      </w:pPr>
    </w:p>
    <w:p w14:paraId="2990D1A0" w14:textId="17D9262E" w:rsidR="00397E1D" w:rsidRDefault="00397E1D" w:rsidP="00397E1D">
      <w:pPr>
        <w:pStyle w:val="Sansinterligne"/>
        <w:numPr>
          <w:ilvl w:val="0"/>
          <w:numId w:val="11"/>
        </w:numPr>
        <w:jc w:val="both"/>
      </w:pPr>
      <w:r>
        <w:t xml:space="preserve">La prise en charge </w:t>
      </w:r>
      <w:r w:rsidR="00113FF1">
        <w:t>en fin de vie des malades d’Alzheimer ou atteints de maladie apparenté.</w:t>
      </w:r>
    </w:p>
    <w:p w14:paraId="009A624B" w14:textId="77777777" w:rsidR="00C27E75" w:rsidRDefault="00C27E75" w:rsidP="00C27E75">
      <w:pPr>
        <w:pStyle w:val="Sansinterligne"/>
        <w:ind w:left="720"/>
        <w:jc w:val="both"/>
      </w:pPr>
    </w:p>
    <w:p w14:paraId="077F1F6C" w14:textId="2647160B" w:rsidR="00113FF1" w:rsidRDefault="00113FF1" w:rsidP="00397E1D">
      <w:pPr>
        <w:pStyle w:val="Sansinterligne"/>
        <w:numPr>
          <w:ilvl w:val="0"/>
          <w:numId w:val="11"/>
        </w:numPr>
        <w:jc w:val="both"/>
      </w:pPr>
      <w:r>
        <w:t>La transmission des informations entre les différentes équipes.</w:t>
      </w:r>
    </w:p>
    <w:p w14:paraId="10255B39" w14:textId="152F667D" w:rsidR="00113FF1" w:rsidRDefault="00113FF1" w:rsidP="00113FF1">
      <w:pPr>
        <w:pStyle w:val="Sansinterligne"/>
        <w:jc w:val="both"/>
      </w:pPr>
    </w:p>
    <w:p w14:paraId="567B78D7" w14:textId="77777777" w:rsidR="00C27E75" w:rsidRDefault="00C27E75" w:rsidP="00113FF1">
      <w:pPr>
        <w:pStyle w:val="Sansinterligne"/>
        <w:jc w:val="both"/>
      </w:pPr>
    </w:p>
    <w:p w14:paraId="5136C477" w14:textId="1D665F8D" w:rsidR="00113FF1" w:rsidRDefault="00113FF1" w:rsidP="00113FF1">
      <w:pPr>
        <w:pStyle w:val="Sansinterligne"/>
        <w:jc w:val="both"/>
      </w:pPr>
      <w:r>
        <w:t>Les activités thérapeutiques organisées par l’ergothérapeute et/ou le psychomotricien nécessitent une prescription médicale.</w:t>
      </w:r>
    </w:p>
    <w:p w14:paraId="7B6C6ED9" w14:textId="538124D2" w:rsidR="00113FF1" w:rsidRDefault="00113FF1" w:rsidP="00113FF1">
      <w:pPr>
        <w:pStyle w:val="Sansinterligne"/>
        <w:jc w:val="both"/>
      </w:pPr>
    </w:p>
    <w:p w14:paraId="1C6E5BF1" w14:textId="396C0368" w:rsidR="00113FF1" w:rsidRDefault="00113FF1" w:rsidP="00113FF1">
      <w:pPr>
        <w:pStyle w:val="Sansinterligne"/>
        <w:jc w:val="both"/>
      </w:pPr>
    </w:p>
    <w:p w14:paraId="7FCB905B" w14:textId="2B511887" w:rsidR="00113FF1" w:rsidRPr="00113FF1" w:rsidRDefault="00113FF1" w:rsidP="00113FF1">
      <w:pPr>
        <w:pStyle w:val="Sansinterligne"/>
        <w:jc w:val="both"/>
        <w:rPr>
          <w:i/>
          <w:u w:val="single"/>
        </w:rPr>
      </w:pPr>
      <w:r w:rsidRPr="00113FF1">
        <w:rPr>
          <w:i/>
          <w:u w:val="single"/>
        </w:rPr>
        <w:t>L’accompagnement personnalisé de vie et de soins :</w:t>
      </w:r>
    </w:p>
    <w:p w14:paraId="6126C576" w14:textId="77777777" w:rsidR="00113FF1" w:rsidRPr="00113FF1" w:rsidRDefault="00113FF1" w:rsidP="00113FF1">
      <w:pPr>
        <w:pStyle w:val="Sansinterligne"/>
        <w:jc w:val="both"/>
        <w:rPr>
          <w:i/>
          <w:u w:val="single"/>
        </w:rPr>
      </w:pPr>
    </w:p>
    <w:p w14:paraId="51E0CC7C" w14:textId="7DCA992B" w:rsidR="00397E1D" w:rsidRDefault="00113FF1" w:rsidP="00CF08E2">
      <w:pPr>
        <w:pStyle w:val="Sansinterligne"/>
        <w:jc w:val="both"/>
      </w:pPr>
      <w:r>
        <w:t>Dans le cas d’un transfert d’un résident d’une unité traditionnelle vers l’UHR, il convient de s’assurer notamment que l’histoire de vie de la personne, ses habitudes de vie quotidienne (horaires de repas, de sommeil, …) ainsi que ses goûts ont été recueillis afin de construire le projet personnalisé d’accompagnement et de soins. S’il s’agit d’une admission directe, ce recueil d’informations est à réaliser auprès de l’entourage et du médecin traitant.</w:t>
      </w:r>
    </w:p>
    <w:p w14:paraId="606312CF" w14:textId="0F15EC9A" w:rsidR="00113FF1" w:rsidRDefault="00113FF1" w:rsidP="00CF08E2">
      <w:pPr>
        <w:pStyle w:val="Sansinterligne"/>
        <w:jc w:val="both"/>
      </w:pPr>
    </w:p>
    <w:p w14:paraId="572295A1" w14:textId="60443A31" w:rsidR="00113FF1" w:rsidRDefault="00113FF1" w:rsidP="00CF08E2">
      <w:pPr>
        <w:pStyle w:val="Sansinterligne"/>
        <w:jc w:val="both"/>
      </w:pPr>
      <w:r>
        <w:t>Cet accompagnement s’intègre dans le projet de vie de la personne au sein de l’établissement. Il précise :</w:t>
      </w:r>
    </w:p>
    <w:p w14:paraId="3479631C" w14:textId="77777777" w:rsidR="00F45BDF" w:rsidRDefault="00F45BDF" w:rsidP="00CF08E2">
      <w:pPr>
        <w:pStyle w:val="Sansinterligne"/>
        <w:jc w:val="both"/>
      </w:pPr>
    </w:p>
    <w:p w14:paraId="291556AA" w14:textId="1BCB1FAC" w:rsidR="00113FF1" w:rsidRDefault="00113FF1" w:rsidP="00113FF1">
      <w:pPr>
        <w:pStyle w:val="Sansinterligne"/>
        <w:numPr>
          <w:ilvl w:val="0"/>
          <w:numId w:val="11"/>
        </w:numPr>
        <w:jc w:val="both"/>
      </w:pPr>
      <w:r>
        <w:t>Le rythme de vie de la personne, y compris la nuit.</w:t>
      </w:r>
    </w:p>
    <w:p w14:paraId="5A8AC041" w14:textId="77777777" w:rsidR="00F45BDF" w:rsidRDefault="00F45BDF" w:rsidP="00F45BDF">
      <w:pPr>
        <w:pStyle w:val="Sansinterligne"/>
        <w:ind w:left="720"/>
        <w:jc w:val="both"/>
      </w:pPr>
    </w:p>
    <w:p w14:paraId="1B8EF3C8" w14:textId="4A36CB78" w:rsidR="00113FF1" w:rsidRDefault="00113FF1" w:rsidP="00113FF1">
      <w:pPr>
        <w:pStyle w:val="Sansinterligne"/>
        <w:numPr>
          <w:ilvl w:val="0"/>
          <w:numId w:val="11"/>
        </w:numPr>
        <w:jc w:val="both"/>
      </w:pPr>
      <w:r>
        <w:t>Les habitudes de vie lors des repas, de la toilette, des sorties, …</w:t>
      </w:r>
    </w:p>
    <w:p w14:paraId="33288500" w14:textId="77777777" w:rsidR="00F45BDF" w:rsidRDefault="00F45BDF" w:rsidP="00F45BDF">
      <w:pPr>
        <w:pStyle w:val="Sansinterligne"/>
        <w:ind w:left="720"/>
        <w:jc w:val="both"/>
      </w:pPr>
    </w:p>
    <w:p w14:paraId="5FDFB3D2" w14:textId="3A9C07C1" w:rsidR="00113FF1" w:rsidRDefault="00113FF1" w:rsidP="00113FF1">
      <w:pPr>
        <w:pStyle w:val="Sansinterligne"/>
        <w:numPr>
          <w:ilvl w:val="0"/>
          <w:numId w:val="11"/>
        </w:numPr>
        <w:jc w:val="both"/>
      </w:pPr>
      <w:r>
        <w:t>Les activités thérapeutiques qui lui sont nécessaires.</w:t>
      </w:r>
    </w:p>
    <w:p w14:paraId="0EE237B4" w14:textId="77777777" w:rsidR="00F45BDF" w:rsidRDefault="00F45BDF" w:rsidP="00F45BDF">
      <w:pPr>
        <w:pStyle w:val="Sansinterligne"/>
        <w:ind w:left="720"/>
        <w:jc w:val="both"/>
      </w:pPr>
    </w:p>
    <w:p w14:paraId="2BE96AF4" w14:textId="32E8DC7A" w:rsidR="00113FF1" w:rsidRDefault="00113FF1" w:rsidP="00113FF1">
      <w:pPr>
        <w:pStyle w:val="Sansinterligne"/>
        <w:numPr>
          <w:ilvl w:val="0"/>
          <w:numId w:val="11"/>
        </w:numPr>
        <w:jc w:val="both"/>
      </w:pPr>
      <w:r>
        <w:t>Les événements à signaler à la famille.</w:t>
      </w:r>
    </w:p>
    <w:p w14:paraId="2A5F11E8" w14:textId="77777777" w:rsidR="00F45BDF" w:rsidRDefault="00F45BDF" w:rsidP="00F45BDF">
      <w:pPr>
        <w:pStyle w:val="Sansinterligne"/>
        <w:ind w:left="720"/>
        <w:jc w:val="both"/>
      </w:pPr>
    </w:p>
    <w:p w14:paraId="5BE4504A" w14:textId="24542F55" w:rsidR="00113FF1" w:rsidRDefault="00113FF1" w:rsidP="00113FF1">
      <w:pPr>
        <w:pStyle w:val="Sansinterligne"/>
        <w:numPr>
          <w:ilvl w:val="0"/>
          <w:numId w:val="11"/>
        </w:numPr>
        <w:jc w:val="both"/>
      </w:pPr>
      <w:r>
        <w:t>La surveillance de l’état de santé : poids, comorbidité et problèmes de santé intercurrents, effets indésirables des médicaments, …</w:t>
      </w:r>
    </w:p>
    <w:p w14:paraId="25C356E2" w14:textId="74532FCE" w:rsidR="00397E1D" w:rsidRDefault="00397E1D" w:rsidP="00CF08E2">
      <w:pPr>
        <w:pStyle w:val="Sansinterligne"/>
        <w:jc w:val="both"/>
      </w:pPr>
    </w:p>
    <w:p w14:paraId="365DF9C2" w14:textId="0FB81E9F" w:rsidR="00397E1D" w:rsidRDefault="00397E1D" w:rsidP="00CF08E2">
      <w:pPr>
        <w:pStyle w:val="Sansinterligne"/>
        <w:jc w:val="both"/>
      </w:pPr>
    </w:p>
    <w:p w14:paraId="257B79FA" w14:textId="3B0ECABA" w:rsidR="00113FF1" w:rsidRDefault="00113FF1" w:rsidP="00CF08E2">
      <w:pPr>
        <w:pStyle w:val="Sansinterligne"/>
        <w:jc w:val="both"/>
      </w:pPr>
      <w:r>
        <w:t>Le projet personnalisé est régulièrement réévalué et adapté en fonction des besoins de la personne sous la responsabilité du médecin coordonnateur ou du médecin de l’unité en lien avec l’infirmier de l’UHR.</w:t>
      </w:r>
    </w:p>
    <w:p w14:paraId="41841B09" w14:textId="18932DF1" w:rsidR="00113FF1" w:rsidRDefault="00113FF1" w:rsidP="00CF08E2">
      <w:pPr>
        <w:pStyle w:val="Sansinterligne"/>
        <w:jc w:val="both"/>
      </w:pPr>
    </w:p>
    <w:p w14:paraId="615643BA" w14:textId="34168D07" w:rsidR="00113FF1" w:rsidRDefault="00113FF1" w:rsidP="00CF08E2">
      <w:pPr>
        <w:pStyle w:val="Sansinterligne"/>
        <w:jc w:val="both"/>
      </w:pPr>
      <w:r>
        <w:t>Les résidents qui ont des difficultés pour dormir la nuit bénéficient d’un accompagnement approprié.</w:t>
      </w:r>
    </w:p>
    <w:p w14:paraId="602D0648" w14:textId="6A3FE85C" w:rsidR="00113FF1" w:rsidRDefault="00113FF1" w:rsidP="00CF08E2">
      <w:pPr>
        <w:pStyle w:val="Sansinterligne"/>
        <w:jc w:val="both"/>
      </w:pPr>
    </w:p>
    <w:p w14:paraId="30C20D48" w14:textId="07232385" w:rsidR="00113FF1" w:rsidRDefault="00113FF1" w:rsidP="00CF08E2">
      <w:pPr>
        <w:pStyle w:val="Sansinterligne"/>
        <w:jc w:val="both"/>
      </w:pPr>
      <w:r>
        <w:t>La synthèse et la transmission des informations concernant le résident sont mentionnés dans un dossier.</w:t>
      </w:r>
    </w:p>
    <w:p w14:paraId="6A166647" w14:textId="7E01579D" w:rsidR="00113FF1" w:rsidRDefault="00113FF1" w:rsidP="00CF08E2">
      <w:pPr>
        <w:pStyle w:val="Sansinterligne"/>
        <w:jc w:val="both"/>
      </w:pPr>
    </w:p>
    <w:p w14:paraId="148B2430" w14:textId="77777777" w:rsidR="00F45BDF" w:rsidRDefault="00F45BDF" w:rsidP="00CF08E2">
      <w:pPr>
        <w:pStyle w:val="Sansinterligne"/>
        <w:jc w:val="both"/>
      </w:pPr>
    </w:p>
    <w:p w14:paraId="52D763D4" w14:textId="3137E049" w:rsidR="00113FF1" w:rsidRPr="00113FF1" w:rsidRDefault="00113FF1" w:rsidP="00CF08E2">
      <w:pPr>
        <w:pStyle w:val="Sansinterligne"/>
        <w:jc w:val="both"/>
        <w:rPr>
          <w:i/>
          <w:u w:val="single"/>
        </w:rPr>
      </w:pPr>
      <w:r w:rsidRPr="00113FF1">
        <w:rPr>
          <w:i/>
          <w:u w:val="single"/>
        </w:rPr>
        <w:t>Les transmissions d’équipe :</w:t>
      </w:r>
    </w:p>
    <w:p w14:paraId="47A428C9" w14:textId="77777777" w:rsidR="00113FF1" w:rsidRDefault="00113FF1" w:rsidP="00CF08E2">
      <w:pPr>
        <w:pStyle w:val="Sansinterligne"/>
        <w:jc w:val="both"/>
      </w:pPr>
    </w:p>
    <w:p w14:paraId="742D0A8F" w14:textId="76E73B07" w:rsidR="00113FF1" w:rsidRDefault="00113FF1" w:rsidP="00CF08E2">
      <w:pPr>
        <w:pStyle w:val="Sansinterligne"/>
        <w:jc w:val="both"/>
      </w:pPr>
      <w:r>
        <w:t>Une procédure de signalement des évènements et des situations complexes est mise en place.</w:t>
      </w:r>
    </w:p>
    <w:p w14:paraId="1FD07142" w14:textId="5532CC22" w:rsidR="00113FF1" w:rsidRDefault="00113FF1" w:rsidP="00CF08E2">
      <w:pPr>
        <w:pStyle w:val="Sansinterligne"/>
        <w:jc w:val="both"/>
      </w:pPr>
    </w:p>
    <w:p w14:paraId="18CE19F5" w14:textId="70859173" w:rsidR="00113FF1" w:rsidRDefault="00113FF1" w:rsidP="00CF08E2">
      <w:pPr>
        <w:pStyle w:val="Sansinterligne"/>
        <w:jc w:val="both"/>
      </w:pPr>
      <w:r>
        <w:t>Lors de la sortie du résident de l’UHR vers son unité d’origine ou son domicile, l’équipe de l’UHR s’assure de la transmission de toutes les informations nécessaires pour une bonne prise en charge du malade par la nouvelle équipe soignante.</w:t>
      </w:r>
    </w:p>
    <w:p w14:paraId="60A09A49" w14:textId="77777777" w:rsidR="00113FF1" w:rsidRDefault="00113FF1" w:rsidP="00CF08E2">
      <w:pPr>
        <w:pStyle w:val="Sansinterligne"/>
        <w:jc w:val="both"/>
      </w:pPr>
    </w:p>
    <w:p w14:paraId="5CA7889D" w14:textId="30AF9081" w:rsidR="00F80C0B" w:rsidRDefault="00F80C0B" w:rsidP="00CF08E2">
      <w:pPr>
        <w:pStyle w:val="Sansinterligne"/>
        <w:jc w:val="both"/>
      </w:pPr>
      <w:r>
        <w:t>La prise en charge des résidents atteints de la maladie d’Alzheimer ou d’une maladie apparentée avec des troubles du comportement sévère nécessite la mise en place d’une coordination active entre différentes structures sanitaires et médico-sociales sous l’impulsion du médecin coordonnateur en EHPAD et du médecin de l’unité en USLD.</w:t>
      </w:r>
    </w:p>
    <w:p w14:paraId="4D905176" w14:textId="6939C5DC" w:rsidR="00712AFC" w:rsidRDefault="00712AFC" w:rsidP="00CF08E2">
      <w:pPr>
        <w:pStyle w:val="Sansinterligne"/>
        <w:jc w:val="both"/>
      </w:pPr>
    </w:p>
    <w:p w14:paraId="68688A3F" w14:textId="77777777" w:rsidR="00455AD8" w:rsidRDefault="00455AD8" w:rsidP="00CF08E2">
      <w:pPr>
        <w:pStyle w:val="Sansinterligne"/>
        <w:jc w:val="both"/>
      </w:pPr>
    </w:p>
    <w:p w14:paraId="23E8955A" w14:textId="5C55FE04" w:rsidR="005C6EAE" w:rsidRPr="005C6EAE" w:rsidRDefault="005C6EAE" w:rsidP="00CF08E2">
      <w:pPr>
        <w:pStyle w:val="Sansinterligne"/>
        <w:jc w:val="both"/>
        <w:rPr>
          <w:i/>
          <w:u w:val="single"/>
        </w:rPr>
      </w:pPr>
      <w:r w:rsidRPr="005C6EAE">
        <w:rPr>
          <w:i/>
          <w:u w:val="single"/>
        </w:rPr>
        <w:t>Les professionnels :</w:t>
      </w:r>
    </w:p>
    <w:p w14:paraId="69FEC3C8" w14:textId="77777777" w:rsidR="005C6EAE" w:rsidRDefault="005C6EAE" w:rsidP="00CF08E2">
      <w:pPr>
        <w:pStyle w:val="Sansinterligne"/>
        <w:jc w:val="both"/>
      </w:pPr>
    </w:p>
    <w:p w14:paraId="12B8708E" w14:textId="184EDB0F" w:rsidR="00712AFC" w:rsidRDefault="00712AFC" w:rsidP="00CF08E2">
      <w:pPr>
        <w:pStyle w:val="Sansinterligne"/>
        <w:jc w:val="both"/>
      </w:pPr>
      <w:r>
        <w:t>L’établissement doit disposer d’un médecin de l’unité, ou le médecin coordonnateur dans les EHPAD. Il constitue le pivot de l’équipe et permet de coordonner et de suivre le projet de soins et de vie spécifique de l’unité.</w:t>
      </w:r>
    </w:p>
    <w:p w14:paraId="2436806E" w14:textId="73FF54BB" w:rsidR="005C6EAE" w:rsidRDefault="005C6EAE" w:rsidP="00CF08E2">
      <w:pPr>
        <w:pStyle w:val="Sansinterligne"/>
        <w:jc w:val="both"/>
      </w:pPr>
    </w:p>
    <w:p w14:paraId="25627828" w14:textId="6E12B24A" w:rsidR="005C6EAE" w:rsidRDefault="005C6EAE" w:rsidP="00CF08E2">
      <w:pPr>
        <w:pStyle w:val="Sansinterligne"/>
        <w:jc w:val="both"/>
      </w:pPr>
      <w:r>
        <w:t>Des réunions sont organisées en vue d’étudier les situations complexes. Les décisions prises font l’objet d’une formalisation écrite.</w:t>
      </w:r>
    </w:p>
    <w:p w14:paraId="5E4EAA61" w14:textId="4B96FC5F" w:rsidR="005C6EAE" w:rsidRDefault="005C6EAE" w:rsidP="00CF08E2">
      <w:pPr>
        <w:pStyle w:val="Sansinterligne"/>
        <w:jc w:val="both"/>
      </w:pPr>
    </w:p>
    <w:p w14:paraId="7A5CA7BF" w14:textId="1EA9DBBE" w:rsidR="005C6EAE" w:rsidRDefault="005C6EAE" w:rsidP="00CF08E2">
      <w:pPr>
        <w:pStyle w:val="Sansinterligne"/>
        <w:jc w:val="both"/>
      </w:pPr>
      <w:r>
        <w:t xml:space="preserve">L’accès à un avis psychiatrique est </w:t>
      </w:r>
      <w:r w:rsidR="009C1733">
        <w:t xml:space="preserve">systématiquement </w:t>
      </w:r>
      <w:r>
        <w:t>recherché.</w:t>
      </w:r>
    </w:p>
    <w:p w14:paraId="5CFB6982" w14:textId="77777777" w:rsidR="005C6EAE" w:rsidRDefault="005C6EAE" w:rsidP="00CF08E2">
      <w:pPr>
        <w:pStyle w:val="Sansinterligne"/>
        <w:jc w:val="both"/>
      </w:pPr>
    </w:p>
    <w:p w14:paraId="64027BDF" w14:textId="01500D93" w:rsidR="00712AFC" w:rsidRDefault="00712AFC" w:rsidP="00CF08E2">
      <w:pPr>
        <w:pStyle w:val="Sansinterligne"/>
        <w:jc w:val="both"/>
      </w:pPr>
    </w:p>
    <w:p w14:paraId="7725724D" w14:textId="31A7FFBF" w:rsidR="00397E1D" w:rsidRDefault="00397E1D" w:rsidP="00CF08E2">
      <w:pPr>
        <w:pStyle w:val="Sansinterligne"/>
        <w:jc w:val="both"/>
      </w:pPr>
      <w:r w:rsidRPr="00455AD8">
        <w:rPr>
          <w:u w:val="single"/>
        </w:rPr>
        <w:t>L’unité d’hébergement renforcée dispose</w:t>
      </w:r>
      <w:r>
        <w:t> :</w:t>
      </w:r>
    </w:p>
    <w:p w14:paraId="150B1BBE" w14:textId="77777777" w:rsidR="00455AD8" w:rsidRDefault="00455AD8" w:rsidP="00CF08E2">
      <w:pPr>
        <w:pStyle w:val="Sansinterligne"/>
        <w:jc w:val="both"/>
      </w:pPr>
    </w:p>
    <w:p w14:paraId="4D1894D0" w14:textId="7650CA7D" w:rsidR="00397E1D" w:rsidRDefault="00397E1D" w:rsidP="00397E1D">
      <w:pPr>
        <w:pStyle w:val="Sansinterligne"/>
        <w:numPr>
          <w:ilvl w:val="0"/>
          <w:numId w:val="11"/>
        </w:numPr>
        <w:jc w:val="both"/>
      </w:pPr>
      <w:r>
        <w:t>D’un temps de médecin (pour les EHPAD, le médecin coordonnateur peut assurer cette mission).</w:t>
      </w:r>
    </w:p>
    <w:p w14:paraId="147507BD" w14:textId="77777777" w:rsidR="00455AD8" w:rsidRDefault="00455AD8" w:rsidP="00455AD8">
      <w:pPr>
        <w:pStyle w:val="Sansinterligne"/>
        <w:ind w:left="720"/>
        <w:jc w:val="both"/>
      </w:pPr>
    </w:p>
    <w:p w14:paraId="3520F39D" w14:textId="768821B5" w:rsidR="00397E1D" w:rsidRDefault="00397E1D" w:rsidP="00397E1D">
      <w:pPr>
        <w:pStyle w:val="Sansinterligne"/>
        <w:numPr>
          <w:ilvl w:val="0"/>
          <w:numId w:val="11"/>
        </w:numPr>
        <w:jc w:val="both"/>
      </w:pPr>
      <w:r>
        <w:t>D’un temps d’infirmier.</w:t>
      </w:r>
    </w:p>
    <w:p w14:paraId="5F8205A7" w14:textId="77777777" w:rsidR="00455AD8" w:rsidRDefault="00455AD8" w:rsidP="00455AD8">
      <w:pPr>
        <w:pStyle w:val="Sansinterligne"/>
        <w:ind w:left="720"/>
        <w:jc w:val="both"/>
      </w:pPr>
    </w:p>
    <w:p w14:paraId="07F61F3D" w14:textId="5C4C9549" w:rsidR="00397E1D" w:rsidRDefault="00397E1D" w:rsidP="00397E1D">
      <w:pPr>
        <w:pStyle w:val="Sansinterligne"/>
        <w:numPr>
          <w:ilvl w:val="0"/>
          <w:numId w:val="11"/>
        </w:numPr>
        <w:jc w:val="both"/>
      </w:pPr>
      <w:r>
        <w:t>D’un temps de psychomotricien ou d’ergothérapeute.</w:t>
      </w:r>
    </w:p>
    <w:p w14:paraId="0107F866" w14:textId="77777777" w:rsidR="00455AD8" w:rsidRDefault="00455AD8" w:rsidP="00455AD8">
      <w:pPr>
        <w:pStyle w:val="Sansinterligne"/>
        <w:ind w:left="720"/>
        <w:jc w:val="both"/>
      </w:pPr>
    </w:p>
    <w:p w14:paraId="646AE8D9" w14:textId="7FC1D347" w:rsidR="00397E1D" w:rsidRDefault="00397E1D" w:rsidP="00397E1D">
      <w:pPr>
        <w:pStyle w:val="Sansinterligne"/>
        <w:numPr>
          <w:ilvl w:val="0"/>
          <w:numId w:val="11"/>
        </w:numPr>
        <w:jc w:val="both"/>
      </w:pPr>
      <w:r>
        <w:t>D’un temps d’assistant de soins en gérontologie.</w:t>
      </w:r>
    </w:p>
    <w:p w14:paraId="49D34CDE" w14:textId="77777777" w:rsidR="00455AD8" w:rsidRDefault="00455AD8" w:rsidP="00455AD8">
      <w:pPr>
        <w:pStyle w:val="Sansinterligne"/>
        <w:ind w:left="720"/>
        <w:jc w:val="both"/>
      </w:pPr>
    </w:p>
    <w:p w14:paraId="544D0F54" w14:textId="0E44980A" w:rsidR="00397E1D" w:rsidRDefault="00397E1D" w:rsidP="00397E1D">
      <w:pPr>
        <w:pStyle w:val="Sansinterligne"/>
        <w:numPr>
          <w:ilvl w:val="0"/>
          <w:numId w:val="11"/>
        </w:numPr>
        <w:jc w:val="both"/>
      </w:pPr>
      <w:r>
        <w:t>D’un temps de personnel soignant la nuit.</w:t>
      </w:r>
    </w:p>
    <w:p w14:paraId="7889645D" w14:textId="77777777" w:rsidR="00455AD8" w:rsidRDefault="00455AD8" w:rsidP="00455AD8">
      <w:pPr>
        <w:pStyle w:val="Sansinterligne"/>
        <w:ind w:left="720"/>
        <w:jc w:val="both"/>
      </w:pPr>
    </w:p>
    <w:p w14:paraId="5C159707" w14:textId="32642309" w:rsidR="00397E1D" w:rsidRDefault="00397E1D" w:rsidP="00397E1D">
      <w:pPr>
        <w:pStyle w:val="Sansinterligne"/>
        <w:numPr>
          <w:ilvl w:val="0"/>
          <w:numId w:val="11"/>
        </w:numPr>
        <w:jc w:val="both"/>
      </w:pPr>
      <w:r>
        <w:t>D’un temps de psychologue pour les résidents, les aidants et les équipes.</w:t>
      </w:r>
    </w:p>
    <w:p w14:paraId="2963250E" w14:textId="2A420061" w:rsidR="00CF08E2" w:rsidRDefault="00CF08E2" w:rsidP="00EB084A">
      <w:pPr>
        <w:pStyle w:val="Sansinterligne"/>
      </w:pPr>
    </w:p>
    <w:p w14:paraId="41154A6D" w14:textId="2A022518" w:rsidR="005C6EAE" w:rsidRDefault="005C6EAE" w:rsidP="00EB084A">
      <w:pPr>
        <w:pStyle w:val="Sansinterligne"/>
      </w:pPr>
    </w:p>
    <w:p w14:paraId="2F55CC68" w14:textId="29CA4B42" w:rsidR="005C6EAE" w:rsidRDefault="005C6EAE" w:rsidP="00EB084A">
      <w:pPr>
        <w:pStyle w:val="Sansinterligne"/>
      </w:pPr>
      <w:r w:rsidRPr="00455AD8">
        <w:rPr>
          <w:u w:val="single"/>
        </w:rPr>
        <w:t>Les professionnels intervenant au sein de l’UHR sont formé</w:t>
      </w:r>
      <w:r w:rsidRPr="009C1733">
        <w:rPr>
          <w:u w:val="single"/>
        </w:rPr>
        <w:t>s </w:t>
      </w:r>
      <w:r>
        <w:t>:</w:t>
      </w:r>
    </w:p>
    <w:p w14:paraId="50B5EC1B" w14:textId="77777777" w:rsidR="00455AD8" w:rsidRDefault="00455AD8" w:rsidP="00EB084A">
      <w:pPr>
        <w:pStyle w:val="Sansinterligne"/>
      </w:pPr>
    </w:p>
    <w:p w14:paraId="6C99997D" w14:textId="115E636D" w:rsidR="005C6EAE" w:rsidRDefault="005C6EAE" w:rsidP="005C6EAE">
      <w:pPr>
        <w:pStyle w:val="Sansinterligne"/>
        <w:numPr>
          <w:ilvl w:val="0"/>
          <w:numId w:val="11"/>
        </w:numPr>
      </w:pPr>
      <w:r>
        <w:t>A l’utilisation des outils d’évaluation (NPI-ES et échelle d’agitation de Cohen-Mansfield</w:t>
      </w:r>
      <w:r w:rsidR="009C1733">
        <w:t>)</w:t>
      </w:r>
      <w:r>
        <w:t>.</w:t>
      </w:r>
    </w:p>
    <w:p w14:paraId="31898EBC" w14:textId="77777777" w:rsidR="00455AD8" w:rsidRDefault="00455AD8" w:rsidP="00455AD8">
      <w:pPr>
        <w:pStyle w:val="Sansinterligne"/>
        <w:ind w:left="720"/>
      </w:pPr>
    </w:p>
    <w:p w14:paraId="156BC5FF" w14:textId="4458601B" w:rsidR="005C6EAE" w:rsidRDefault="005C6EAE" w:rsidP="005C6EAE">
      <w:pPr>
        <w:pStyle w:val="Sansinterligne"/>
        <w:numPr>
          <w:ilvl w:val="0"/>
          <w:numId w:val="11"/>
        </w:numPr>
      </w:pPr>
      <w:r>
        <w:t>Aux techniques d’observation et d’analyse des comportements.</w:t>
      </w:r>
    </w:p>
    <w:p w14:paraId="0D6BB6E4" w14:textId="77777777" w:rsidR="00455AD8" w:rsidRDefault="00455AD8" w:rsidP="00455AD8">
      <w:pPr>
        <w:pStyle w:val="Sansinterligne"/>
        <w:ind w:left="720"/>
      </w:pPr>
    </w:p>
    <w:p w14:paraId="0EF1A0FE" w14:textId="1D995A4A" w:rsidR="005C6EAE" w:rsidRDefault="005C6EAE" w:rsidP="005C6EAE">
      <w:pPr>
        <w:pStyle w:val="Sansinterligne"/>
        <w:numPr>
          <w:ilvl w:val="0"/>
          <w:numId w:val="11"/>
        </w:numPr>
      </w:pPr>
      <w:r>
        <w:t>Aux techniques de soins et de communication adaptées aux malades d’Alzheimer ou atteints de maladie apparentée.</w:t>
      </w:r>
    </w:p>
    <w:p w14:paraId="1F2978D7" w14:textId="77777777" w:rsidR="00455AD8" w:rsidRDefault="00455AD8" w:rsidP="00455AD8">
      <w:pPr>
        <w:pStyle w:val="Sansinterligne"/>
        <w:ind w:left="720"/>
      </w:pPr>
    </w:p>
    <w:p w14:paraId="5DC890A5" w14:textId="1E9F1DFA" w:rsidR="005C6EAE" w:rsidRDefault="005C6EAE" w:rsidP="005C6EAE">
      <w:pPr>
        <w:pStyle w:val="Sansinterligne"/>
        <w:numPr>
          <w:ilvl w:val="0"/>
          <w:numId w:val="11"/>
        </w:numPr>
      </w:pPr>
      <w:r>
        <w:t>A la prise en charge des troubles du comportement (notamment aux stratégies non médicamenteuses de gestion des symptômes psycho-comportementaux).</w:t>
      </w:r>
    </w:p>
    <w:p w14:paraId="594DCF18" w14:textId="14813C25" w:rsidR="005C6EAE" w:rsidRDefault="005C6EAE" w:rsidP="005C6EAE">
      <w:pPr>
        <w:pStyle w:val="Sansinterligne"/>
      </w:pPr>
    </w:p>
    <w:p w14:paraId="3CED151C" w14:textId="77777777" w:rsidR="00455AD8" w:rsidRDefault="00455AD8" w:rsidP="005C6EAE">
      <w:pPr>
        <w:pStyle w:val="Sansinterligne"/>
      </w:pPr>
    </w:p>
    <w:p w14:paraId="640A1178" w14:textId="396FA66F" w:rsidR="005C6EAE" w:rsidRDefault="009F6551" w:rsidP="0062413F">
      <w:pPr>
        <w:pStyle w:val="Sansinterligne"/>
        <w:jc w:val="both"/>
      </w:pPr>
      <w:r>
        <w:t>L</w:t>
      </w:r>
      <w:r w:rsidR="005C6EAE">
        <w:t>’ensemble du personnel intervenant dans l’unité est formé, notamment à la prise en charge des troubles du comportement perturbateurs liés à la maladie.</w:t>
      </w:r>
    </w:p>
    <w:p w14:paraId="440664C0" w14:textId="5B5B1588" w:rsidR="005C6EAE" w:rsidRDefault="005C6EAE" w:rsidP="0062413F">
      <w:pPr>
        <w:pStyle w:val="Sansinterligne"/>
        <w:jc w:val="both"/>
      </w:pPr>
    </w:p>
    <w:p w14:paraId="5055E071" w14:textId="3D6D794E" w:rsidR="005C6EAE" w:rsidRDefault="005C6EAE" w:rsidP="0062413F">
      <w:pPr>
        <w:pStyle w:val="Sansinterligne"/>
        <w:jc w:val="both"/>
      </w:pPr>
      <w:r>
        <w:t>L’ensemble du personnel est sensibilisé à cet accompagnement afin de permettre la prise en charge des personnes, à la sortie de l’UHR, dans les meilleures conditions.</w:t>
      </w:r>
    </w:p>
    <w:p w14:paraId="2BD38060" w14:textId="60C223C6" w:rsidR="009F6551" w:rsidRDefault="009F6551" w:rsidP="0062413F">
      <w:pPr>
        <w:pStyle w:val="Sansinterligne"/>
        <w:jc w:val="both"/>
      </w:pPr>
    </w:p>
    <w:p w14:paraId="12E35B91" w14:textId="7F393ED8" w:rsidR="009F6551" w:rsidRDefault="009F6551" w:rsidP="005C6EAE">
      <w:pPr>
        <w:pStyle w:val="Sansinterligne"/>
      </w:pPr>
    </w:p>
    <w:p w14:paraId="522CF24F" w14:textId="48F61B42" w:rsidR="009F6551" w:rsidRDefault="009F6551" w:rsidP="005C6EAE">
      <w:pPr>
        <w:pStyle w:val="Sansinterligne"/>
      </w:pPr>
    </w:p>
    <w:p w14:paraId="2480918A" w14:textId="023F0673" w:rsidR="009F6551" w:rsidRDefault="009F6551" w:rsidP="005C6EAE">
      <w:pPr>
        <w:pStyle w:val="Sansinterligne"/>
      </w:pPr>
    </w:p>
    <w:p w14:paraId="46E70A99" w14:textId="77777777" w:rsidR="009F6551" w:rsidRDefault="009F6551" w:rsidP="005C6EAE">
      <w:pPr>
        <w:pStyle w:val="Sansinterligne"/>
      </w:pPr>
    </w:p>
    <w:p w14:paraId="65AB5386" w14:textId="428FB938" w:rsidR="005C6EAE" w:rsidRPr="00D512CB" w:rsidRDefault="00D512CB" w:rsidP="003C6CF6">
      <w:pPr>
        <w:pStyle w:val="Sansinterligne"/>
        <w:jc w:val="both"/>
        <w:rPr>
          <w:i/>
          <w:u w:val="single"/>
        </w:rPr>
      </w:pPr>
      <w:r w:rsidRPr="00D512CB">
        <w:rPr>
          <w:i/>
          <w:u w:val="single"/>
        </w:rPr>
        <w:lastRenderedPageBreak/>
        <w:t>L’environnement architectural :</w:t>
      </w:r>
    </w:p>
    <w:p w14:paraId="1EC1786E" w14:textId="68D09967" w:rsidR="00D512CB" w:rsidRDefault="00D512CB" w:rsidP="003C6CF6">
      <w:pPr>
        <w:pStyle w:val="Sansinterligne"/>
        <w:jc w:val="both"/>
      </w:pPr>
    </w:p>
    <w:p w14:paraId="2599E394" w14:textId="4AF53429" w:rsidR="00D512CB" w:rsidRDefault="00D512CB" w:rsidP="003C6CF6">
      <w:pPr>
        <w:pStyle w:val="Sansinterligne"/>
        <w:jc w:val="both"/>
      </w:pPr>
      <w:r w:rsidRPr="00455AD8">
        <w:rPr>
          <w:u w:val="single"/>
        </w:rPr>
        <w:t>L’environnement architectural doit répondre à 3 objectifs</w:t>
      </w:r>
      <w:r>
        <w:t> :</w:t>
      </w:r>
    </w:p>
    <w:p w14:paraId="3BDEEF9F" w14:textId="77777777" w:rsidR="00455AD8" w:rsidRDefault="00455AD8" w:rsidP="003C6CF6">
      <w:pPr>
        <w:pStyle w:val="Sansinterligne"/>
        <w:jc w:val="both"/>
      </w:pPr>
    </w:p>
    <w:p w14:paraId="341D4BF2" w14:textId="0888F22A" w:rsidR="00D512CB" w:rsidRDefault="00D512CB" w:rsidP="003C6CF6">
      <w:pPr>
        <w:pStyle w:val="Sansinterligne"/>
        <w:numPr>
          <w:ilvl w:val="0"/>
          <w:numId w:val="11"/>
        </w:numPr>
        <w:jc w:val="both"/>
      </w:pPr>
      <w:r>
        <w:t>Créer pour les résidents un environnement confortable, rassurant et stimulant.</w:t>
      </w:r>
    </w:p>
    <w:p w14:paraId="08BEEDC2" w14:textId="77777777" w:rsidR="00455AD8" w:rsidRDefault="00455AD8" w:rsidP="003C6CF6">
      <w:pPr>
        <w:pStyle w:val="Sansinterligne"/>
        <w:ind w:left="720"/>
        <w:jc w:val="both"/>
      </w:pPr>
    </w:p>
    <w:p w14:paraId="16A58AB2" w14:textId="7CA3DE50" w:rsidR="00D512CB" w:rsidRDefault="00D512CB" w:rsidP="003C6CF6">
      <w:pPr>
        <w:pStyle w:val="Sansinterligne"/>
        <w:numPr>
          <w:ilvl w:val="0"/>
          <w:numId w:val="11"/>
        </w:numPr>
        <w:jc w:val="both"/>
      </w:pPr>
      <w:r>
        <w:t>Procurer aux personnels un environnement de travail ergonomique et agréable.</w:t>
      </w:r>
    </w:p>
    <w:p w14:paraId="3594ADC1" w14:textId="77777777" w:rsidR="00455AD8" w:rsidRDefault="00455AD8" w:rsidP="003C6CF6">
      <w:pPr>
        <w:pStyle w:val="Sansinterligne"/>
        <w:ind w:left="720"/>
        <w:jc w:val="both"/>
      </w:pPr>
    </w:p>
    <w:p w14:paraId="691BC76D" w14:textId="731EBEFB" w:rsidR="00D512CB" w:rsidRDefault="00D512CB" w:rsidP="003C6CF6">
      <w:pPr>
        <w:pStyle w:val="Sansinterligne"/>
        <w:numPr>
          <w:ilvl w:val="0"/>
          <w:numId w:val="11"/>
        </w:numPr>
        <w:jc w:val="both"/>
      </w:pPr>
      <w:r>
        <w:t>Offrir des lieux de vie sociale pour le groupe et permettant d’y accueillir les familles.</w:t>
      </w:r>
    </w:p>
    <w:p w14:paraId="7D919333" w14:textId="5479B41A" w:rsidR="00D512CB" w:rsidRDefault="00D512CB" w:rsidP="003C6CF6">
      <w:pPr>
        <w:pStyle w:val="Sansinterligne"/>
        <w:jc w:val="both"/>
      </w:pPr>
    </w:p>
    <w:p w14:paraId="5BFF1ECA" w14:textId="1BFFE115" w:rsidR="00D512CB" w:rsidRDefault="00D512CB" w:rsidP="003C6CF6">
      <w:pPr>
        <w:pStyle w:val="Sansinterligne"/>
        <w:jc w:val="both"/>
      </w:pPr>
    </w:p>
    <w:p w14:paraId="426A997A" w14:textId="00B78DC9" w:rsidR="00D512CB" w:rsidRDefault="00D512CB" w:rsidP="003C6CF6">
      <w:pPr>
        <w:pStyle w:val="Sansinterligne"/>
        <w:jc w:val="both"/>
      </w:pPr>
      <w:r>
        <w:t xml:space="preserve">L’unité dispose d’espaces privés et collectifs et notamment une ouverture sur l’extérieur par un prolongement sur un jardin ou sur une terrasse clos et </w:t>
      </w:r>
      <w:r w:rsidR="00CF7A37">
        <w:t>sécurisée. Cet espace est accessible dans les conditions permettant de garantir la sécurité. La conception architecturale de l’unité vise à :</w:t>
      </w:r>
    </w:p>
    <w:p w14:paraId="1CC70A39" w14:textId="77777777" w:rsidR="00455AD8" w:rsidRDefault="00455AD8" w:rsidP="003C6CF6">
      <w:pPr>
        <w:pStyle w:val="Sansinterligne"/>
        <w:jc w:val="both"/>
      </w:pPr>
    </w:p>
    <w:p w14:paraId="465166E6" w14:textId="089AAEE1" w:rsidR="00CF7A37" w:rsidRDefault="00CF7A37" w:rsidP="003C6CF6">
      <w:pPr>
        <w:pStyle w:val="Sansinterligne"/>
        <w:numPr>
          <w:ilvl w:val="0"/>
          <w:numId w:val="11"/>
        </w:numPr>
        <w:jc w:val="both"/>
      </w:pPr>
      <w:r>
        <w:t>Favoriser un environnement convivial et non institutionnel de façon à protéger le bien-être émotionnel et réduire l’agitation et l’agressivité des résidents.</w:t>
      </w:r>
    </w:p>
    <w:p w14:paraId="3133A111" w14:textId="77777777" w:rsidR="00455AD8" w:rsidRDefault="00455AD8" w:rsidP="003C6CF6">
      <w:pPr>
        <w:pStyle w:val="Sansinterligne"/>
        <w:ind w:left="720"/>
        <w:jc w:val="both"/>
      </w:pPr>
    </w:p>
    <w:p w14:paraId="7A8A94B8" w14:textId="1DD5FA67" w:rsidR="00CF7A37" w:rsidRDefault="00CF7A37" w:rsidP="003C6CF6">
      <w:pPr>
        <w:pStyle w:val="Sansinterligne"/>
        <w:numPr>
          <w:ilvl w:val="0"/>
          <w:numId w:val="11"/>
        </w:numPr>
        <w:jc w:val="both"/>
      </w:pPr>
      <w:r>
        <w:t>Favoriser l’orientation et la déambulation dans un cadre sécurisé.</w:t>
      </w:r>
    </w:p>
    <w:p w14:paraId="34F3F113" w14:textId="77777777" w:rsidR="00455AD8" w:rsidRDefault="00455AD8" w:rsidP="003C6CF6">
      <w:pPr>
        <w:pStyle w:val="Sansinterligne"/>
        <w:ind w:left="720"/>
        <w:jc w:val="both"/>
      </w:pPr>
    </w:p>
    <w:p w14:paraId="7B04F601" w14:textId="1840AE3D" w:rsidR="00CF7A37" w:rsidRDefault="00CF7A37" w:rsidP="003C6CF6">
      <w:pPr>
        <w:pStyle w:val="Sansinterligne"/>
        <w:numPr>
          <w:ilvl w:val="0"/>
          <w:numId w:val="11"/>
        </w:numPr>
        <w:jc w:val="both"/>
      </w:pPr>
      <w:r>
        <w:t>Répondre à des besoins d’autonomie et d’intimité.</w:t>
      </w:r>
    </w:p>
    <w:p w14:paraId="04691A27" w14:textId="77777777" w:rsidR="00455AD8" w:rsidRDefault="00455AD8" w:rsidP="003C6CF6">
      <w:pPr>
        <w:pStyle w:val="Sansinterligne"/>
        <w:ind w:left="720"/>
        <w:jc w:val="both"/>
      </w:pPr>
    </w:p>
    <w:p w14:paraId="65580D62" w14:textId="2064B6F7" w:rsidR="00CF7A37" w:rsidRDefault="00CF7A37" w:rsidP="003C6CF6">
      <w:pPr>
        <w:pStyle w:val="Sansinterligne"/>
        <w:numPr>
          <w:ilvl w:val="0"/>
          <w:numId w:val="11"/>
        </w:numPr>
        <w:jc w:val="both"/>
      </w:pPr>
      <w:r>
        <w:t>Prendre en compte la nécessité de créer un environnement qui ne produise pas de sursimulations sensorielles pouvant être génératrices de troubles psychologiques et comportementaux.</w:t>
      </w:r>
    </w:p>
    <w:p w14:paraId="4577652B" w14:textId="77777777" w:rsidR="00D512CB" w:rsidRDefault="00D512CB" w:rsidP="003C6CF6">
      <w:pPr>
        <w:pStyle w:val="Sansinterligne"/>
        <w:jc w:val="both"/>
      </w:pPr>
    </w:p>
    <w:p w14:paraId="7C421652" w14:textId="77777777" w:rsidR="005C6EAE" w:rsidRPr="00B978F6" w:rsidRDefault="005C6EAE" w:rsidP="005C6EAE">
      <w:pPr>
        <w:pStyle w:val="Sansinterligne"/>
      </w:pPr>
    </w:p>
    <w:p w14:paraId="08285203" w14:textId="2109877D" w:rsidR="00BB19AB" w:rsidRPr="00B978F6" w:rsidRDefault="0019752C" w:rsidP="008117F3">
      <w:pPr>
        <w:pStyle w:val="Titre2"/>
        <w:numPr>
          <w:ilvl w:val="1"/>
          <w:numId w:val="1"/>
        </w:numPr>
      </w:pPr>
      <w:r>
        <w:t>Modalités de financement</w:t>
      </w:r>
    </w:p>
    <w:p w14:paraId="375F4DF3" w14:textId="1CD25E37" w:rsidR="00EB084A" w:rsidRDefault="00EB084A" w:rsidP="00BB19AB"/>
    <w:p w14:paraId="4D752FA8" w14:textId="5EF72323" w:rsidR="00CF7A37" w:rsidRDefault="00CF7A37" w:rsidP="00BB19AB">
      <w:r>
        <w:t>L’enveloppe régionale permettra le déploiement d’une UHR sur le département des Ardennes.</w:t>
      </w:r>
    </w:p>
    <w:p w14:paraId="74F4AD6A" w14:textId="251F12E5" w:rsidR="00CF7A37" w:rsidRPr="00455AD8" w:rsidRDefault="009F6551" w:rsidP="00BB19AB">
      <w:pPr>
        <w:rPr>
          <w:color w:val="FF0000"/>
        </w:rPr>
      </w:pPr>
      <w:r w:rsidRPr="009F6551">
        <w:rPr>
          <w:color w:val="000000" w:themeColor="text1"/>
        </w:rPr>
        <w:t>Le financement annuel est de 17 205</w:t>
      </w:r>
      <w:r w:rsidR="00CF7A37" w:rsidRPr="009F6551">
        <w:rPr>
          <w:color w:val="000000" w:themeColor="text1"/>
        </w:rPr>
        <w:t xml:space="preserve"> euros par place, soit </w:t>
      </w:r>
      <w:r w:rsidRPr="009F6551">
        <w:rPr>
          <w:color w:val="000000" w:themeColor="text1"/>
        </w:rPr>
        <w:t>206 460</w:t>
      </w:r>
      <w:r w:rsidR="00CF7A37" w:rsidRPr="009F6551">
        <w:rPr>
          <w:color w:val="000000" w:themeColor="text1"/>
        </w:rPr>
        <w:t xml:space="preserve"> euros par UHR de 12 places et de </w:t>
      </w:r>
      <w:r w:rsidRPr="009F6551">
        <w:rPr>
          <w:color w:val="000000" w:themeColor="text1"/>
        </w:rPr>
        <w:t>240 870</w:t>
      </w:r>
      <w:r w:rsidR="00CF7A37" w:rsidRPr="009F6551">
        <w:rPr>
          <w:color w:val="000000" w:themeColor="text1"/>
        </w:rPr>
        <w:t xml:space="preserve"> euros pour 14 places</w:t>
      </w:r>
      <w:r w:rsidR="00CF7A37" w:rsidRPr="00455AD8">
        <w:rPr>
          <w:color w:val="FF0000"/>
        </w:rPr>
        <w:t>.</w:t>
      </w:r>
    </w:p>
    <w:p w14:paraId="54A6D7E6" w14:textId="77777777" w:rsidR="00CF7A37" w:rsidRPr="00B978F6" w:rsidRDefault="00CF7A37" w:rsidP="00BB19AB"/>
    <w:p w14:paraId="03D6ADA2" w14:textId="0342682A" w:rsidR="004F029D" w:rsidRPr="00CF7A37" w:rsidRDefault="00AD3CC4" w:rsidP="00F20567">
      <w:pPr>
        <w:pStyle w:val="Paragraphedeliste"/>
        <w:numPr>
          <w:ilvl w:val="1"/>
          <w:numId w:val="1"/>
        </w:numPr>
        <w:jc w:val="both"/>
        <w:rPr>
          <w:sz w:val="22"/>
          <w:u w:val="none"/>
        </w:rPr>
      </w:pPr>
      <w:proofErr w:type="gramStart"/>
      <w:r w:rsidRPr="00CF7A37">
        <w:rPr>
          <w:b w:val="0"/>
          <w:sz w:val="22"/>
          <w:u w:val="none"/>
        </w:rPr>
        <w:t>.</w:t>
      </w:r>
      <w:r w:rsidR="0019752C">
        <w:t>Suivi</w:t>
      </w:r>
      <w:proofErr w:type="gramEnd"/>
      <w:r w:rsidR="0019752C">
        <w:t xml:space="preserve"> et évaluation</w:t>
      </w:r>
    </w:p>
    <w:p w14:paraId="7C3DF305" w14:textId="3C4B81EA" w:rsidR="00550389" w:rsidRPr="00B978F6" w:rsidRDefault="00550389" w:rsidP="00550389">
      <w:pPr>
        <w:jc w:val="both"/>
      </w:pPr>
    </w:p>
    <w:p w14:paraId="6FF0F3C7" w14:textId="1B66BEFD" w:rsidR="008A53B7" w:rsidRDefault="00CF7A37" w:rsidP="004F029D">
      <w:pPr>
        <w:pStyle w:val="Sansinterligne"/>
        <w:jc w:val="both"/>
      </w:pPr>
      <w:r>
        <w:t>Le porteur tiendra informé annuellement l’Agence Régionale de Santé de la mise en œuvre et du fonctionnement de l’UHR par le biais d’un rapport d’activité spécifique annexe au rapport annuel de l’établissement, comprenant :</w:t>
      </w:r>
    </w:p>
    <w:p w14:paraId="4FB9BE82" w14:textId="77777777" w:rsidR="00CF7A37" w:rsidRDefault="00CF7A37" w:rsidP="004F029D">
      <w:pPr>
        <w:pStyle w:val="Sansinterligne"/>
        <w:jc w:val="both"/>
      </w:pPr>
    </w:p>
    <w:p w14:paraId="677D842B" w14:textId="2110DE99" w:rsidR="00CF7A37" w:rsidRDefault="00CF7A37" w:rsidP="00CF7A37">
      <w:pPr>
        <w:pStyle w:val="Sansinterligne"/>
        <w:numPr>
          <w:ilvl w:val="0"/>
          <w:numId w:val="11"/>
        </w:numPr>
        <w:jc w:val="both"/>
      </w:pPr>
      <w:r>
        <w:t>Nombre de bénéficiaires au cours des 12 derniers mois.</w:t>
      </w:r>
    </w:p>
    <w:p w14:paraId="1F3851ED" w14:textId="71E24CCE" w:rsidR="00CF7A37" w:rsidRDefault="00CF7A37" w:rsidP="00CF7A37">
      <w:pPr>
        <w:pStyle w:val="Sansinterligne"/>
        <w:numPr>
          <w:ilvl w:val="0"/>
          <w:numId w:val="11"/>
        </w:numPr>
        <w:jc w:val="both"/>
      </w:pPr>
      <w:r>
        <w:t>Nombre de sorties définitives et l’origine de ces sorties.</w:t>
      </w:r>
    </w:p>
    <w:p w14:paraId="11A97605" w14:textId="1EBBC515" w:rsidR="006F0C33" w:rsidRDefault="006F0C33" w:rsidP="00CF7A37">
      <w:pPr>
        <w:pStyle w:val="Sansinterligne"/>
        <w:numPr>
          <w:ilvl w:val="0"/>
          <w:numId w:val="11"/>
        </w:numPr>
        <w:jc w:val="both"/>
      </w:pPr>
      <w:r>
        <w:t>Durée moyenne de séjour.</w:t>
      </w:r>
    </w:p>
    <w:p w14:paraId="6EED6AE2" w14:textId="4839BAF9" w:rsidR="00CF7A37" w:rsidRDefault="00CF7A37" w:rsidP="00CF7A37">
      <w:pPr>
        <w:pStyle w:val="Sansinterligne"/>
        <w:numPr>
          <w:ilvl w:val="0"/>
          <w:numId w:val="11"/>
        </w:numPr>
        <w:jc w:val="both"/>
      </w:pPr>
      <w:r>
        <w:t>Nombre de résidents n’ayant pas pu être admis, faute de place au cours des 12 derniers mois.</w:t>
      </w:r>
    </w:p>
    <w:p w14:paraId="69C6BA58" w14:textId="5F613D27" w:rsidR="00CF7A37" w:rsidRPr="00B978F6" w:rsidRDefault="00CF7A37" w:rsidP="00CF7A37">
      <w:pPr>
        <w:pStyle w:val="Sansinterligne"/>
        <w:numPr>
          <w:ilvl w:val="0"/>
          <w:numId w:val="11"/>
        </w:numPr>
        <w:jc w:val="both"/>
      </w:pPr>
      <w:r>
        <w:t>Nombre de réunions organisées entre les professionnels de l’EHPAD et ceux dédiés à l’UHR.</w:t>
      </w:r>
    </w:p>
    <w:p w14:paraId="00AAA5DB" w14:textId="6573E030" w:rsidR="004F029D" w:rsidRPr="00B978F6" w:rsidRDefault="004F029D" w:rsidP="00E849C4">
      <w:pPr>
        <w:pStyle w:val="Sansinterligne"/>
      </w:pPr>
    </w:p>
    <w:p w14:paraId="29D1494A" w14:textId="77777777" w:rsidR="00C17E5F" w:rsidRPr="00B978F6" w:rsidRDefault="00C17E5F" w:rsidP="004A6FAF"/>
    <w:p w14:paraId="0A5B0914" w14:textId="565C11CB" w:rsidR="00C064D3" w:rsidRPr="00B978F6" w:rsidRDefault="00C064D3" w:rsidP="00C064D3">
      <w:pPr>
        <w:pStyle w:val="Titre1"/>
        <w:numPr>
          <w:ilvl w:val="0"/>
          <w:numId w:val="1"/>
        </w:numPr>
      </w:pPr>
      <w:bookmarkStart w:id="1" w:name="_Toc103684711"/>
      <w:r w:rsidRPr="00B978F6">
        <w:lastRenderedPageBreak/>
        <w:t>P</w:t>
      </w:r>
      <w:bookmarkEnd w:id="1"/>
      <w:r w:rsidR="0019752C">
        <w:t>rocédure de l’appel à candidatures</w:t>
      </w:r>
    </w:p>
    <w:p w14:paraId="4D01F9FF" w14:textId="16C1B0FB" w:rsidR="00C064D3" w:rsidRPr="00B978F6" w:rsidRDefault="00C064D3" w:rsidP="004A6FAF"/>
    <w:p w14:paraId="1FAF5ABD" w14:textId="4E3FB266" w:rsidR="00C064D3" w:rsidRPr="00B978F6" w:rsidRDefault="00C064D3" w:rsidP="00C064D3">
      <w:pPr>
        <w:pStyle w:val="Titre2"/>
        <w:numPr>
          <w:ilvl w:val="1"/>
          <w:numId w:val="1"/>
        </w:numPr>
      </w:pPr>
      <w:bookmarkStart w:id="2" w:name="_Toc103684712"/>
      <w:r w:rsidRPr="00B978F6">
        <w:t>P</w:t>
      </w:r>
      <w:bookmarkEnd w:id="2"/>
      <w:r w:rsidR="0019752C">
        <w:t>ublicité</w:t>
      </w:r>
    </w:p>
    <w:p w14:paraId="5D77DAF5" w14:textId="23C0CB87" w:rsidR="00C064D3" w:rsidRPr="00B978F6" w:rsidRDefault="00C064D3" w:rsidP="00C064D3"/>
    <w:p w14:paraId="364CC9D8" w14:textId="4190B94C" w:rsidR="00AB08F5" w:rsidRDefault="00AB08F5" w:rsidP="00C064D3">
      <w:r w:rsidRPr="008E61D9">
        <w:rPr>
          <w:color w:val="000000" w:themeColor="text1"/>
        </w:rPr>
        <w:t>L’appel à candidature fait l’objet d’une publication sur le sit</w:t>
      </w:r>
      <w:r w:rsidR="00610285" w:rsidRPr="008E61D9">
        <w:rPr>
          <w:color w:val="000000" w:themeColor="text1"/>
        </w:rPr>
        <w:t>e internet de l’ARS Grand Est :</w:t>
      </w:r>
      <w:r w:rsidR="008E61D9" w:rsidRPr="008E61D9">
        <w:rPr>
          <w:color w:val="000000" w:themeColor="text1"/>
        </w:rPr>
        <w:t xml:space="preserve"> </w:t>
      </w:r>
      <w:hyperlink r:id="rId9" w:history="1">
        <w:r w:rsidR="008E61D9" w:rsidRPr="00867977">
          <w:rPr>
            <w:rStyle w:val="Lienhypertexte"/>
          </w:rPr>
          <w:t>https://www.grand-est.ars.sante.fr/liste-appels-projet-candidature</w:t>
        </w:r>
      </w:hyperlink>
    </w:p>
    <w:p w14:paraId="4F13B8FB" w14:textId="7D4C8D43" w:rsidR="004F029D" w:rsidRPr="00B978F6" w:rsidRDefault="004F029D" w:rsidP="00E849C4">
      <w:pPr>
        <w:pStyle w:val="Sansinterligne"/>
      </w:pPr>
    </w:p>
    <w:p w14:paraId="1772E656" w14:textId="33493EC7" w:rsidR="0050245A" w:rsidRPr="00B978F6" w:rsidRDefault="00AB08F5" w:rsidP="00AB08F5">
      <w:pPr>
        <w:pStyle w:val="Titre2"/>
        <w:numPr>
          <w:ilvl w:val="1"/>
          <w:numId w:val="1"/>
        </w:numPr>
      </w:pPr>
      <w:bookmarkStart w:id="3" w:name="_Toc103684713"/>
      <w:r w:rsidRPr="00B978F6">
        <w:t>C</w:t>
      </w:r>
      <w:bookmarkEnd w:id="3"/>
      <w:r w:rsidR="0019752C">
        <w:t>alendrier</w:t>
      </w:r>
    </w:p>
    <w:p w14:paraId="71689F49" w14:textId="77777777" w:rsidR="00AB08F5" w:rsidRPr="00B978F6" w:rsidRDefault="00AB08F5" w:rsidP="00AB08F5"/>
    <w:p w14:paraId="2167844F" w14:textId="65AEF259" w:rsidR="0050245A" w:rsidRPr="00B978F6" w:rsidRDefault="0050245A" w:rsidP="008117F3">
      <w:pPr>
        <w:pStyle w:val="Paragraphedeliste"/>
        <w:numPr>
          <w:ilvl w:val="0"/>
          <w:numId w:val="2"/>
        </w:numPr>
        <w:jc w:val="both"/>
        <w:rPr>
          <w:b w:val="0"/>
          <w:sz w:val="22"/>
          <w:szCs w:val="20"/>
          <w:u w:val="none"/>
        </w:rPr>
      </w:pPr>
      <w:r w:rsidRPr="00B978F6">
        <w:rPr>
          <w:b w:val="0"/>
          <w:sz w:val="22"/>
          <w:szCs w:val="20"/>
          <w:u w:val="none"/>
        </w:rPr>
        <w:t>Publication de l’appel à candidatures :</w:t>
      </w:r>
      <w:r w:rsidR="00F30F76" w:rsidRPr="00B978F6">
        <w:rPr>
          <w:b w:val="0"/>
          <w:sz w:val="22"/>
          <w:szCs w:val="20"/>
          <w:u w:val="none"/>
        </w:rPr>
        <w:t xml:space="preserve"> </w:t>
      </w:r>
      <w:r w:rsidR="001A4674">
        <w:rPr>
          <w:b w:val="0"/>
          <w:sz w:val="22"/>
          <w:szCs w:val="20"/>
          <w:u w:val="none"/>
        </w:rPr>
        <w:t>3</w:t>
      </w:r>
      <w:r w:rsidR="008E61D9">
        <w:rPr>
          <w:b w:val="0"/>
          <w:sz w:val="22"/>
          <w:szCs w:val="20"/>
          <w:u w:val="none"/>
        </w:rPr>
        <w:t>0</w:t>
      </w:r>
      <w:r w:rsidR="00610285">
        <w:rPr>
          <w:b w:val="0"/>
          <w:sz w:val="22"/>
          <w:szCs w:val="20"/>
          <w:u w:val="none"/>
        </w:rPr>
        <w:t xml:space="preserve"> août</w:t>
      </w:r>
      <w:r w:rsidR="00E36ECD" w:rsidRPr="00B978F6">
        <w:rPr>
          <w:b w:val="0"/>
          <w:sz w:val="22"/>
          <w:szCs w:val="20"/>
          <w:u w:val="none"/>
        </w:rPr>
        <w:t xml:space="preserve"> 202</w:t>
      </w:r>
      <w:r w:rsidR="00610285">
        <w:rPr>
          <w:b w:val="0"/>
          <w:sz w:val="22"/>
          <w:szCs w:val="20"/>
          <w:u w:val="none"/>
        </w:rPr>
        <w:t>3</w:t>
      </w:r>
      <w:r w:rsidR="008E61D9">
        <w:rPr>
          <w:b w:val="0"/>
          <w:sz w:val="22"/>
          <w:szCs w:val="20"/>
          <w:u w:val="none"/>
        </w:rPr>
        <w:t>.</w:t>
      </w:r>
    </w:p>
    <w:p w14:paraId="3F3C4854" w14:textId="77777777" w:rsidR="00A2370A" w:rsidRPr="00B978F6" w:rsidRDefault="00A2370A" w:rsidP="00E36ECD">
      <w:pPr>
        <w:pStyle w:val="Paragraphedeliste"/>
        <w:jc w:val="both"/>
        <w:rPr>
          <w:b w:val="0"/>
          <w:sz w:val="22"/>
          <w:szCs w:val="20"/>
          <w:u w:val="none"/>
        </w:rPr>
      </w:pPr>
    </w:p>
    <w:p w14:paraId="5D2A535D" w14:textId="1321CBC1" w:rsidR="00AB08F5" w:rsidRPr="00B978F6" w:rsidRDefault="0050245A" w:rsidP="00E36ECD">
      <w:pPr>
        <w:pStyle w:val="Paragraphedeliste"/>
        <w:numPr>
          <w:ilvl w:val="0"/>
          <w:numId w:val="2"/>
        </w:numPr>
        <w:jc w:val="both"/>
        <w:rPr>
          <w:b w:val="0"/>
          <w:sz w:val="22"/>
          <w:szCs w:val="20"/>
          <w:u w:val="none"/>
        </w:rPr>
      </w:pPr>
      <w:r w:rsidRPr="00B978F6">
        <w:rPr>
          <w:b w:val="0"/>
          <w:sz w:val="22"/>
          <w:szCs w:val="20"/>
          <w:u w:val="none"/>
        </w:rPr>
        <w:t xml:space="preserve">Délai de dépôt des candidatures : </w:t>
      </w:r>
      <w:r w:rsidR="00945CD1">
        <w:rPr>
          <w:b w:val="0"/>
          <w:sz w:val="22"/>
          <w:szCs w:val="20"/>
          <w:u w:val="none"/>
        </w:rPr>
        <w:t>15 octobre</w:t>
      </w:r>
      <w:r w:rsidR="00610285">
        <w:rPr>
          <w:b w:val="0"/>
          <w:sz w:val="22"/>
          <w:szCs w:val="20"/>
          <w:u w:val="none"/>
        </w:rPr>
        <w:t xml:space="preserve"> 2023</w:t>
      </w:r>
      <w:r w:rsidR="008E61D9">
        <w:rPr>
          <w:b w:val="0"/>
          <w:sz w:val="22"/>
          <w:szCs w:val="20"/>
          <w:u w:val="none"/>
        </w:rPr>
        <w:t>.</w:t>
      </w:r>
    </w:p>
    <w:p w14:paraId="1378C1C6" w14:textId="657AEF50" w:rsidR="00E36ECD" w:rsidRPr="00B978F6" w:rsidRDefault="00E36ECD" w:rsidP="00E36ECD">
      <w:pPr>
        <w:pStyle w:val="Paragraphedeliste"/>
        <w:jc w:val="both"/>
        <w:rPr>
          <w:b w:val="0"/>
          <w:sz w:val="22"/>
          <w:szCs w:val="20"/>
          <w:u w:val="none"/>
        </w:rPr>
      </w:pPr>
    </w:p>
    <w:p w14:paraId="3C7B3F0D" w14:textId="69C69E7E" w:rsidR="0050245A" w:rsidRPr="008E61D9" w:rsidRDefault="00637BCD" w:rsidP="00AB08F5">
      <w:pPr>
        <w:pStyle w:val="Paragraphedeliste"/>
        <w:numPr>
          <w:ilvl w:val="0"/>
          <w:numId w:val="2"/>
        </w:numPr>
        <w:jc w:val="both"/>
        <w:rPr>
          <w:b w:val="0"/>
          <w:color w:val="000000" w:themeColor="text1"/>
          <w:sz w:val="22"/>
          <w:szCs w:val="20"/>
          <w:u w:val="none"/>
        </w:rPr>
      </w:pPr>
      <w:r w:rsidRPr="008E61D9">
        <w:rPr>
          <w:b w:val="0"/>
          <w:color w:val="000000" w:themeColor="text1"/>
          <w:sz w:val="22"/>
          <w:szCs w:val="20"/>
          <w:u w:val="none"/>
        </w:rPr>
        <w:t>Notification :</w:t>
      </w:r>
      <w:r w:rsidR="00945CD1">
        <w:rPr>
          <w:b w:val="0"/>
          <w:color w:val="000000" w:themeColor="text1"/>
          <w:sz w:val="22"/>
          <w:szCs w:val="20"/>
          <w:u w:val="none"/>
        </w:rPr>
        <w:t xml:space="preserve"> 15 novembre</w:t>
      </w:r>
      <w:bookmarkStart w:id="4" w:name="_GoBack"/>
      <w:bookmarkEnd w:id="4"/>
      <w:r w:rsidR="008E61D9">
        <w:rPr>
          <w:b w:val="0"/>
          <w:color w:val="000000" w:themeColor="text1"/>
          <w:sz w:val="22"/>
          <w:szCs w:val="20"/>
          <w:u w:val="none"/>
        </w:rPr>
        <w:t xml:space="preserve"> 2023.</w:t>
      </w:r>
    </w:p>
    <w:p w14:paraId="73A2D3C4" w14:textId="77777777" w:rsidR="00E13278" w:rsidRPr="00B978F6" w:rsidRDefault="00E13278" w:rsidP="00E13278">
      <w:pPr>
        <w:pStyle w:val="Paragraphedeliste"/>
        <w:rPr>
          <w:b w:val="0"/>
          <w:sz w:val="22"/>
          <w:szCs w:val="20"/>
          <w:u w:val="none"/>
        </w:rPr>
      </w:pPr>
    </w:p>
    <w:p w14:paraId="2B770293" w14:textId="7ECB01A8" w:rsidR="00E13278" w:rsidRPr="00B978F6" w:rsidRDefault="0019752C" w:rsidP="00E13278">
      <w:pPr>
        <w:pStyle w:val="Titre2"/>
        <w:numPr>
          <w:ilvl w:val="1"/>
          <w:numId w:val="1"/>
        </w:numPr>
      </w:pPr>
      <w:r>
        <w:t>Contenu du dossier de candidature</w:t>
      </w:r>
    </w:p>
    <w:p w14:paraId="129AF801" w14:textId="77777777" w:rsidR="00A2370A" w:rsidRPr="00B978F6" w:rsidRDefault="00A2370A" w:rsidP="00A2370A">
      <w:pPr>
        <w:pStyle w:val="Paragraphedeliste"/>
        <w:jc w:val="both"/>
        <w:rPr>
          <w:b w:val="0"/>
          <w:sz w:val="20"/>
          <w:szCs w:val="20"/>
          <w:u w:val="none"/>
        </w:rPr>
      </w:pPr>
    </w:p>
    <w:p w14:paraId="67463DDC" w14:textId="1F21EB53" w:rsidR="00596A64" w:rsidRDefault="00596A64" w:rsidP="00D7190C">
      <w:pPr>
        <w:jc w:val="both"/>
      </w:pPr>
      <w:r>
        <w:t xml:space="preserve">Le dossier de candidature devra décrire le projet conformément au cahier des charges joint, notamment sur les points suivants : </w:t>
      </w:r>
    </w:p>
    <w:p w14:paraId="734D8DDD" w14:textId="37042AD1" w:rsidR="00596A64" w:rsidRPr="000E2DDA" w:rsidRDefault="00596A64" w:rsidP="00596A64">
      <w:pPr>
        <w:pStyle w:val="Paragraphedeliste"/>
        <w:numPr>
          <w:ilvl w:val="0"/>
          <w:numId w:val="11"/>
        </w:numPr>
        <w:jc w:val="both"/>
        <w:rPr>
          <w:sz w:val="22"/>
        </w:rPr>
      </w:pPr>
      <w:r w:rsidRPr="00596A64">
        <w:rPr>
          <w:b w:val="0"/>
          <w:sz w:val="22"/>
          <w:u w:val="none"/>
        </w:rPr>
        <w:t>Le projet d’accompagnement thérapeutique décrivant les modalités d’accompagnement et de soins prévus, ainsi que les modalités d’appui permettant de sécuriser le retour dans le lieu de vie initial.</w:t>
      </w:r>
    </w:p>
    <w:p w14:paraId="35EB6C44" w14:textId="77777777" w:rsidR="000E2DDA" w:rsidRPr="000E2DDA" w:rsidRDefault="000E2DDA" w:rsidP="000E2DDA">
      <w:pPr>
        <w:pStyle w:val="Paragraphedeliste"/>
        <w:jc w:val="both"/>
        <w:rPr>
          <w:b w:val="0"/>
          <w:sz w:val="22"/>
          <w:u w:val="none"/>
        </w:rPr>
      </w:pPr>
    </w:p>
    <w:p w14:paraId="59BD3C2F" w14:textId="72307DBE" w:rsidR="00596A64" w:rsidRPr="000E2DDA" w:rsidRDefault="00596A64" w:rsidP="00596A64">
      <w:pPr>
        <w:pStyle w:val="Paragraphedeliste"/>
        <w:numPr>
          <w:ilvl w:val="0"/>
          <w:numId w:val="11"/>
        </w:numPr>
        <w:jc w:val="both"/>
        <w:rPr>
          <w:sz w:val="22"/>
        </w:rPr>
      </w:pPr>
      <w:r w:rsidRPr="00596A64">
        <w:rPr>
          <w:b w:val="0"/>
          <w:sz w:val="22"/>
          <w:u w:val="none"/>
        </w:rPr>
        <w:t>Le planning des activités prévues (activités envisagées, ainsi que les modalités : fréquence, nombre de personnes prévues pour les activités, …).</w:t>
      </w:r>
    </w:p>
    <w:p w14:paraId="2CD59A68" w14:textId="77777777" w:rsidR="000E2DDA" w:rsidRPr="000E2DDA" w:rsidRDefault="000E2DDA" w:rsidP="000E2DDA">
      <w:pPr>
        <w:pStyle w:val="Paragraphedeliste"/>
        <w:rPr>
          <w:b w:val="0"/>
          <w:sz w:val="22"/>
          <w:u w:val="none"/>
        </w:rPr>
      </w:pPr>
    </w:p>
    <w:p w14:paraId="6D693224" w14:textId="62E7DCCD" w:rsidR="00596A64" w:rsidRPr="000E2DDA" w:rsidRDefault="00596A64" w:rsidP="00596A64">
      <w:pPr>
        <w:pStyle w:val="Paragraphedeliste"/>
        <w:numPr>
          <w:ilvl w:val="0"/>
          <w:numId w:val="11"/>
        </w:numPr>
        <w:jc w:val="both"/>
        <w:rPr>
          <w:sz w:val="22"/>
        </w:rPr>
      </w:pPr>
      <w:r w:rsidRPr="00596A64">
        <w:rPr>
          <w:b w:val="0"/>
          <w:sz w:val="22"/>
          <w:u w:val="none"/>
        </w:rPr>
        <w:t>Le tableau prévisionnel des effectifs.</w:t>
      </w:r>
    </w:p>
    <w:p w14:paraId="15F3DBC9" w14:textId="77777777" w:rsidR="000E2DDA" w:rsidRPr="000E2DDA" w:rsidRDefault="000E2DDA" w:rsidP="000E2DDA">
      <w:pPr>
        <w:pStyle w:val="Paragraphedeliste"/>
        <w:rPr>
          <w:b w:val="0"/>
          <w:sz w:val="22"/>
          <w:u w:val="none"/>
        </w:rPr>
      </w:pPr>
    </w:p>
    <w:p w14:paraId="72792F13" w14:textId="1E5796DC" w:rsidR="00596A64" w:rsidRPr="000E2DDA" w:rsidRDefault="00596A64" w:rsidP="00596A64">
      <w:pPr>
        <w:pStyle w:val="Paragraphedeliste"/>
        <w:numPr>
          <w:ilvl w:val="0"/>
          <w:numId w:val="11"/>
        </w:numPr>
        <w:jc w:val="both"/>
        <w:rPr>
          <w:sz w:val="22"/>
        </w:rPr>
      </w:pPr>
      <w:r w:rsidRPr="00596A64">
        <w:rPr>
          <w:b w:val="0"/>
          <w:sz w:val="22"/>
          <w:u w:val="none"/>
        </w:rPr>
        <w:t>La description précise des locaux en joignant les plans (avec identification et surface de chaque pièce).</w:t>
      </w:r>
    </w:p>
    <w:p w14:paraId="00BA50AE" w14:textId="77777777" w:rsidR="000E2DDA" w:rsidRPr="000E2DDA" w:rsidRDefault="000E2DDA" w:rsidP="000E2DDA">
      <w:pPr>
        <w:pStyle w:val="Paragraphedeliste"/>
        <w:rPr>
          <w:b w:val="0"/>
          <w:sz w:val="22"/>
          <w:u w:val="none"/>
        </w:rPr>
      </w:pPr>
    </w:p>
    <w:p w14:paraId="75B71E1F" w14:textId="5D88E463" w:rsidR="00596A64" w:rsidRPr="000E2DDA" w:rsidRDefault="00596A64" w:rsidP="00596A64">
      <w:pPr>
        <w:pStyle w:val="Paragraphedeliste"/>
        <w:numPr>
          <w:ilvl w:val="0"/>
          <w:numId w:val="11"/>
        </w:numPr>
        <w:jc w:val="both"/>
        <w:rPr>
          <w:sz w:val="22"/>
        </w:rPr>
      </w:pPr>
      <w:r w:rsidRPr="00596A64">
        <w:rPr>
          <w:b w:val="0"/>
          <w:sz w:val="22"/>
          <w:u w:val="none"/>
        </w:rPr>
        <w:t>Le plan de formation prévisionnel pour les personnels de l’UHR.</w:t>
      </w:r>
    </w:p>
    <w:p w14:paraId="5BE68B1A" w14:textId="77777777" w:rsidR="000E2DDA" w:rsidRPr="000E2DDA" w:rsidRDefault="000E2DDA" w:rsidP="000E2DDA">
      <w:pPr>
        <w:pStyle w:val="Paragraphedeliste"/>
        <w:rPr>
          <w:b w:val="0"/>
          <w:sz w:val="22"/>
          <w:u w:val="none"/>
        </w:rPr>
      </w:pPr>
    </w:p>
    <w:p w14:paraId="2262E575" w14:textId="53B065BC" w:rsidR="00596A64" w:rsidRPr="00596A64" w:rsidRDefault="00596A64" w:rsidP="00596A64">
      <w:pPr>
        <w:pStyle w:val="Paragraphedeliste"/>
        <w:numPr>
          <w:ilvl w:val="0"/>
          <w:numId w:val="11"/>
        </w:numPr>
        <w:jc w:val="both"/>
        <w:rPr>
          <w:sz w:val="22"/>
        </w:rPr>
      </w:pPr>
      <w:r w:rsidRPr="00596A64">
        <w:rPr>
          <w:b w:val="0"/>
          <w:sz w:val="22"/>
          <w:u w:val="none"/>
        </w:rPr>
        <w:t>Les partenariats déjà existants et envisagés.</w:t>
      </w:r>
    </w:p>
    <w:p w14:paraId="07CD76C2" w14:textId="77777777" w:rsidR="00596A64" w:rsidRDefault="00596A64" w:rsidP="00D7190C">
      <w:pPr>
        <w:jc w:val="both"/>
      </w:pPr>
    </w:p>
    <w:p w14:paraId="1D3D402C" w14:textId="4FE8035D" w:rsidR="008703AC" w:rsidRPr="00B978F6" w:rsidRDefault="008703AC" w:rsidP="00D7190C">
      <w:pPr>
        <w:jc w:val="both"/>
      </w:pPr>
      <w:r w:rsidRPr="00B978F6">
        <w:t>Le</w:t>
      </w:r>
      <w:r w:rsidR="00596A64">
        <w:t xml:space="preserve"> dossier de candidature </w:t>
      </w:r>
      <w:r w:rsidRPr="00B978F6">
        <w:t>ser</w:t>
      </w:r>
      <w:r w:rsidR="00596A64">
        <w:t>a</w:t>
      </w:r>
      <w:r w:rsidRPr="00B978F6">
        <w:t xml:space="preserve"> </w:t>
      </w:r>
      <w:r w:rsidR="00596A64">
        <w:t xml:space="preserve">transmis par courriel à </w:t>
      </w:r>
      <w:r w:rsidRPr="00B978F6">
        <w:t>l’adresse suivante :</w:t>
      </w:r>
    </w:p>
    <w:p w14:paraId="2589BCD2" w14:textId="77777777" w:rsidR="00BB7DF6" w:rsidRPr="00BB7DF6" w:rsidRDefault="00845400" w:rsidP="008703AC">
      <w:pPr>
        <w:pStyle w:val="Corpsdetexte"/>
        <w:spacing w:after="0"/>
        <w:jc w:val="center"/>
        <w:rPr>
          <w:rStyle w:val="Lienhypertexte"/>
          <w:rFonts w:asciiTheme="minorHAnsi" w:hAnsiTheme="minorHAnsi"/>
          <w:sz w:val="22"/>
          <w:szCs w:val="20"/>
        </w:rPr>
      </w:pPr>
      <w:hyperlink r:id="rId10" w:history="1">
        <w:r w:rsidR="00BB7DF6" w:rsidRPr="00BB7DF6">
          <w:rPr>
            <w:rStyle w:val="Lienhypertexte"/>
            <w:rFonts w:asciiTheme="minorHAnsi" w:hAnsiTheme="minorHAnsi"/>
            <w:sz w:val="22"/>
            <w:szCs w:val="20"/>
          </w:rPr>
          <w:t>ars-grandest-da-parcours-pa@ars.sante.fr</w:t>
        </w:r>
      </w:hyperlink>
    </w:p>
    <w:p w14:paraId="6C72998F" w14:textId="77777777" w:rsidR="008703AC" w:rsidRPr="00B978F6" w:rsidRDefault="008703AC" w:rsidP="008703AC">
      <w:pPr>
        <w:pStyle w:val="Corpsdetexte"/>
        <w:spacing w:after="0"/>
        <w:jc w:val="center"/>
        <w:rPr>
          <w:rFonts w:cs="Arial"/>
          <w:szCs w:val="20"/>
        </w:rPr>
      </w:pPr>
    </w:p>
    <w:p w14:paraId="5C869DAD" w14:textId="314AEC72" w:rsidR="008703AC" w:rsidRPr="00B978F6" w:rsidRDefault="008703AC" w:rsidP="008703AC">
      <w:pPr>
        <w:jc w:val="both"/>
        <w:rPr>
          <w:sz w:val="20"/>
          <w:szCs w:val="20"/>
        </w:rPr>
      </w:pPr>
      <w:r w:rsidRPr="00B978F6">
        <w:t>Et à l’adresse de la délégation territoriale d</w:t>
      </w:r>
      <w:r w:rsidR="000D2397">
        <w:t>es Ardennes</w:t>
      </w:r>
      <w:r w:rsidRPr="00B978F6">
        <w:t xml:space="preserve"> : </w:t>
      </w:r>
    </w:p>
    <w:p w14:paraId="1CA7AF67" w14:textId="7FB6483C" w:rsidR="008703AC" w:rsidRPr="00B978F6" w:rsidRDefault="00845400" w:rsidP="008703AC">
      <w:pPr>
        <w:pStyle w:val="Corpsdetexte"/>
        <w:spacing w:after="0"/>
        <w:jc w:val="center"/>
        <w:rPr>
          <w:rStyle w:val="Lienhypertexte"/>
          <w:rFonts w:asciiTheme="minorHAnsi" w:hAnsiTheme="minorHAnsi"/>
          <w:sz w:val="22"/>
          <w:szCs w:val="20"/>
        </w:rPr>
      </w:pPr>
      <w:hyperlink r:id="rId11" w:history="1">
        <w:r w:rsidR="000D2397" w:rsidRPr="00D71849">
          <w:rPr>
            <w:rStyle w:val="Lienhypertexte"/>
            <w:rFonts w:asciiTheme="minorHAnsi" w:hAnsiTheme="minorHAnsi"/>
            <w:sz w:val="22"/>
            <w:szCs w:val="20"/>
          </w:rPr>
          <w:t>ars-grandest-dt08-posa@ars.sante.fr</w:t>
        </w:r>
      </w:hyperlink>
    </w:p>
    <w:p w14:paraId="6800CEE1" w14:textId="77777777" w:rsidR="008703AC" w:rsidRPr="00B978F6" w:rsidRDefault="008703AC" w:rsidP="008703AC">
      <w:pPr>
        <w:pStyle w:val="Corpsdetexte"/>
        <w:spacing w:after="0"/>
        <w:jc w:val="center"/>
        <w:rPr>
          <w:rStyle w:val="Lienhypertexte"/>
          <w:rFonts w:asciiTheme="minorHAnsi" w:hAnsiTheme="minorHAnsi"/>
          <w:sz w:val="22"/>
          <w:szCs w:val="20"/>
        </w:rPr>
      </w:pPr>
    </w:p>
    <w:p w14:paraId="5CB27C4B" w14:textId="642C28FF" w:rsidR="008F7D70" w:rsidRPr="00B978F6" w:rsidRDefault="008F7D70" w:rsidP="00D7190C">
      <w:pPr>
        <w:jc w:val="both"/>
      </w:pPr>
    </w:p>
    <w:p w14:paraId="21EC4607" w14:textId="77777777" w:rsidR="00B978F6" w:rsidRDefault="008703AC" w:rsidP="00FA28F5">
      <w:pPr>
        <w:jc w:val="both"/>
      </w:pPr>
      <w:r w:rsidRPr="00B978F6">
        <w:t>Les dossiers parvenus ou envoyés après la date limite de dépôt ne seront pas recevables.</w:t>
      </w:r>
    </w:p>
    <w:p w14:paraId="6B57E761" w14:textId="37AD49DE" w:rsidR="00610285" w:rsidRDefault="00610285" w:rsidP="00FA28F5">
      <w:pPr>
        <w:jc w:val="both"/>
      </w:pPr>
    </w:p>
    <w:p w14:paraId="0DF78A3D" w14:textId="77777777" w:rsidR="00610285" w:rsidRPr="00B978F6" w:rsidRDefault="00610285" w:rsidP="00FA28F5">
      <w:pPr>
        <w:jc w:val="both"/>
        <w:sectPr w:rsidR="00610285" w:rsidRPr="00B978F6" w:rsidSect="00FA28F5">
          <w:headerReference w:type="even" r:id="rId12"/>
          <w:headerReference w:type="default" r:id="rId13"/>
          <w:footerReference w:type="even" r:id="rId14"/>
          <w:footerReference w:type="default" r:id="rId15"/>
          <w:pgSz w:w="11906" w:h="16838"/>
          <w:pgMar w:top="0" w:right="1417" w:bottom="1417" w:left="1417" w:header="708" w:footer="708" w:gutter="0"/>
          <w:cols w:space="708"/>
          <w:titlePg/>
          <w:docGrid w:linePitch="360"/>
        </w:sectPr>
      </w:pPr>
    </w:p>
    <w:p w14:paraId="3C7112BC" w14:textId="1B50C5A7" w:rsidR="00FA28F5" w:rsidRPr="00B978F6" w:rsidRDefault="00FA28F5"/>
    <w:p w14:paraId="716DBA1F" w14:textId="77777777" w:rsidR="008F7D70" w:rsidRPr="00B978F6" w:rsidRDefault="008F7D70"/>
    <w:p w14:paraId="58E894EE" w14:textId="77777777" w:rsidR="008F7D70" w:rsidRPr="00B978F6" w:rsidRDefault="008F7D70"/>
    <w:p w14:paraId="6DA6581B" w14:textId="77777777" w:rsidR="008F7D70" w:rsidRPr="00B978F6" w:rsidRDefault="008F7D70"/>
    <w:p w14:paraId="218F085C" w14:textId="77777777" w:rsidR="008F7D70" w:rsidRPr="00B978F6" w:rsidRDefault="008F7D70"/>
    <w:p w14:paraId="07407157" w14:textId="77777777" w:rsidR="008F7D70" w:rsidRPr="00B978F6" w:rsidRDefault="008F7D70"/>
    <w:p w14:paraId="4E48C7C2" w14:textId="77777777" w:rsidR="008F7D70" w:rsidRPr="00B978F6" w:rsidRDefault="008F7D70"/>
    <w:p w14:paraId="59243D4F" w14:textId="04BB4E72" w:rsidR="008F7D70" w:rsidRDefault="00FA28F5">
      <w:r w:rsidRPr="00B978F6">
        <w:rPr>
          <w:noProof/>
        </w:rPr>
        <w:drawing>
          <wp:anchor distT="0" distB="0" distL="114300" distR="114300" simplePos="0" relativeHeight="251668480" behindDoc="1" locked="0" layoutInCell="0" allowOverlap="1" wp14:anchorId="39F39452" wp14:editId="24F72238">
            <wp:simplePos x="0" y="0"/>
            <wp:positionH relativeFrom="leftMargin">
              <wp:posOffset>-40640</wp:posOffset>
            </wp:positionH>
            <wp:positionV relativeFrom="margin">
              <wp:posOffset>-641350</wp:posOffset>
            </wp:positionV>
            <wp:extent cx="7620000" cy="107823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me_couverture_DG.jpg"/>
                    <pic:cNvPicPr/>
                  </pic:nvPicPr>
                  <pic:blipFill>
                    <a:blip r:embed="rId16">
                      <a:extLst>
                        <a:ext uri="{28A0092B-C50C-407E-A947-70E740481C1C}">
                          <a14:useLocalDpi xmlns:a14="http://schemas.microsoft.com/office/drawing/2010/main" val="0"/>
                        </a:ext>
                      </a:extLst>
                    </a:blip>
                    <a:stretch>
                      <a:fillRect/>
                    </a:stretch>
                  </pic:blipFill>
                  <pic:spPr>
                    <a:xfrm>
                      <a:off x="0" y="0"/>
                      <a:ext cx="7620000" cy="10782300"/>
                    </a:xfrm>
                    <a:prstGeom prst="rect">
                      <a:avLst/>
                    </a:prstGeom>
                  </pic:spPr>
                </pic:pic>
              </a:graphicData>
            </a:graphic>
            <wp14:sizeRelH relativeFrom="margin">
              <wp14:pctWidth>0</wp14:pctWidth>
            </wp14:sizeRelH>
            <wp14:sizeRelV relativeFrom="margin">
              <wp14:pctHeight>0</wp14:pctHeight>
            </wp14:sizeRelV>
          </wp:anchor>
        </w:drawing>
      </w:r>
    </w:p>
    <w:p w14:paraId="7456D956" w14:textId="189FAAC6" w:rsidR="008F7D70" w:rsidRPr="0047538B" w:rsidRDefault="008F7D70" w:rsidP="00A414EE"/>
    <w:sectPr w:rsidR="008F7D70" w:rsidRPr="0047538B" w:rsidSect="00FA28F5">
      <w:pgSz w:w="11906" w:h="16838"/>
      <w:pgMar w:top="0"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4A239" w14:textId="77777777" w:rsidR="00845400" w:rsidRDefault="00845400" w:rsidP="00430EC6">
      <w:pPr>
        <w:spacing w:after="0" w:line="240" w:lineRule="auto"/>
      </w:pPr>
      <w:r>
        <w:separator/>
      </w:r>
    </w:p>
  </w:endnote>
  <w:endnote w:type="continuationSeparator" w:id="0">
    <w:p w14:paraId="1CA8FA89" w14:textId="77777777" w:rsidR="00845400" w:rsidRDefault="00845400" w:rsidP="00430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00284" w14:textId="52E7338D" w:rsidR="007770D4" w:rsidRDefault="007770D4" w:rsidP="008F7D70">
    <w:pPr>
      <w:pStyle w:val="Pieddepage"/>
      <w:jc w:val="center"/>
    </w:pPr>
    <w:r>
      <w:rPr>
        <w:rFonts w:ascii="Arial" w:hAnsi="Arial" w:cs="Arial"/>
        <w:sz w:val="18"/>
        <w:szCs w:val="18"/>
      </w:rPr>
      <w:t xml:space="preserve">Page |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945CD1">
      <w:rPr>
        <w:rFonts w:ascii="Arial" w:hAnsi="Arial" w:cs="Arial"/>
        <w:noProof/>
        <w:sz w:val="18"/>
        <w:szCs w:val="18"/>
      </w:rPr>
      <w:t>10</w:t>
    </w:r>
    <w:r>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E4723" w14:textId="591C175C" w:rsidR="007770D4" w:rsidRDefault="007770D4" w:rsidP="00430EC6">
    <w:pPr>
      <w:pStyle w:val="Pieddepage"/>
      <w:jc w:val="center"/>
    </w:pPr>
    <w:r>
      <w:rPr>
        <w:rFonts w:ascii="Arial" w:hAnsi="Arial" w:cs="Arial"/>
        <w:sz w:val="18"/>
        <w:szCs w:val="18"/>
      </w:rPr>
      <w:t xml:space="preserve">Page |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945CD1">
      <w:rPr>
        <w:rFonts w:ascii="Arial" w:hAnsi="Arial" w:cs="Arial"/>
        <w:noProof/>
        <w:sz w:val="18"/>
        <w:szCs w:val="18"/>
      </w:rPr>
      <w:t>11</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863A6" w14:textId="77777777" w:rsidR="00845400" w:rsidRDefault="00845400" w:rsidP="00430EC6">
      <w:pPr>
        <w:spacing w:after="0" w:line="240" w:lineRule="auto"/>
      </w:pPr>
      <w:r>
        <w:separator/>
      </w:r>
    </w:p>
  </w:footnote>
  <w:footnote w:type="continuationSeparator" w:id="0">
    <w:p w14:paraId="55EB0EA3" w14:textId="77777777" w:rsidR="00845400" w:rsidRDefault="00845400" w:rsidP="00430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1D0AA" w14:textId="39E5C6EA" w:rsidR="007770D4" w:rsidRDefault="007770D4">
    <w:pPr>
      <w:pStyle w:val="En-tte"/>
    </w:pPr>
    <w:r>
      <w:rPr>
        <w:noProof/>
      </w:rPr>
      <w:drawing>
        <wp:anchor distT="0" distB="0" distL="114300" distR="114300" simplePos="0" relativeHeight="251665408" behindDoc="0" locked="0" layoutInCell="1" allowOverlap="1" wp14:anchorId="70BCFAE7" wp14:editId="1CF25C7E">
          <wp:simplePos x="0" y="0"/>
          <wp:positionH relativeFrom="column">
            <wp:posOffset>-899795</wp:posOffset>
          </wp:positionH>
          <wp:positionV relativeFrom="paragraph">
            <wp:posOffset>-205031</wp:posOffset>
          </wp:positionV>
          <wp:extent cx="2886710" cy="10241627"/>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 page gauche_DG.jpg"/>
                  <pic:cNvPicPr/>
                </pic:nvPicPr>
                <pic:blipFill>
                  <a:blip r:embed="rId1">
                    <a:extLst>
                      <a:ext uri="{28A0092B-C50C-407E-A947-70E740481C1C}">
                        <a14:useLocalDpi xmlns:a14="http://schemas.microsoft.com/office/drawing/2010/main" val="0"/>
                      </a:ext>
                    </a:extLst>
                  </a:blip>
                  <a:stretch>
                    <a:fillRect/>
                  </a:stretch>
                </pic:blipFill>
                <pic:spPr>
                  <a:xfrm>
                    <a:off x="0" y="0"/>
                    <a:ext cx="2886710" cy="1024162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CECA2" w14:textId="3F0CC4C4" w:rsidR="007770D4" w:rsidRDefault="007770D4">
    <w:pPr>
      <w:pStyle w:val="En-tte"/>
    </w:pPr>
    <w:r>
      <w:rPr>
        <w:noProof/>
      </w:rPr>
      <w:drawing>
        <wp:anchor distT="0" distB="0" distL="114300" distR="114300" simplePos="0" relativeHeight="251663360" behindDoc="0" locked="0" layoutInCell="1" allowOverlap="1" wp14:anchorId="18D308E5" wp14:editId="7308F8BA">
          <wp:simplePos x="0" y="0"/>
          <wp:positionH relativeFrom="column">
            <wp:posOffset>3831693</wp:posOffset>
          </wp:positionH>
          <wp:positionV relativeFrom="paragraph">
            <wp:posOffset>-141236</wp:posOffset>
          </wp:positionV>
          <wp:extent cx="2844800" cy="10092937"/>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 page droite_DG.jpg"/>
                  <pic:cNvPicPr/>
                </pic:nvPicPr>
                <pic:blipFill>
                  <a:blip r:embed="rId1">
                    <a:extLst>
                      <a:ext uri="{28A0092B-C50C-407E-A947-70E740481C1C}">
                        <a14:useLocalDpi xmlns:a14="http://schemas.microsoft.com/office/drawing/2010/main" val="0"/>
                      </a:ext>
                    </a:extLst>
                  </a:blip>
                  <a:stretch>
                    <a:fillRect/>
                  </a:stretch>
                </pic:blipFill>
                <pic:spPr>
                  <a:xfrm flipH="1">
                    <a:off x="0" y="0"/>
                    <a:ext cx="2844800" cy="10092937"/>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1799"/>
    <w:multiLevelType w:val="hybridMultilevel"/>
    <w:tmpl w:val="0232ABF4"/>
    <w:lvl w:ilvl="0" w:tplc="DECCD5AE">
      <w:start w:val="3"/>
      <w:numFmt w:val="bullet"/>
      <w:lvlText w:val=""/>
      <w:lvlJc w:val="left"/>
      <w:pPr>
        <w:ind w:left="720" w:hanging="360"/>
      </w:pPr>
      <w:rPr>
        <w:rFonts w:ascii="Symbol" w:eastAsiaTheme="maj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04719B"/>
    <w:multiLevelType w:val="hybridMultilevel"/>
    <w:tmpl w:val="D5AA56CA"/>
    <w:lvl w:ilvl="0" w:tplc="51E88D28">
      <w:start w:val="3"/>
      <w:numFmt w:val="bullet"/>
      <w:lvlText w:val="-"/>
      <w:lvlJc w:val="left"/>
      <w:pPr>
        <w:ind w:left="1130" w:hanging="360"/>
      </w:pPr>
      <w:rPr>
        <w:rFonts w:ascii="Calibri" w:eastAsiaTheme="minorEastAsia" w:hAnsi="Calibri" w:cstheme="minorBidi" w:hint="default"/>
      </w:rPr>
    </w:lvl>
    <w:lvl w:ilvl="1" w:tplc="040C0003" w:tentative="1">
      <w:start w:val="1"/>
      <w:numFmt w:val="bullet"/>
      <w:lvlText w:val="o"/>
      <w:lvlJc w:val="left"/>
      <w:pPr>
        <w:ind w:left="1850" w:hanging="360"/>
      </w:pPr>
      <w:rPr>
        <w:rFonts w:ascii="Courier New" w:hAnsi="Courier New" w:cs="Courier New" w:hint="default"/>
      </w:rPr>
    </w:lvl>
    <w:lvl w:ilvl="2" w:tplc="040C0005" w:tentative="1">
      <w:start w:val="1"/>
      <w:numFmt w:val="bullet"/>
      <w:lvlText w:val=""/>
      <w:lvlJc w:val="left"/>
      <w:pPr>
        <w:ind w:left="2570" w:hanging="360"/>
      </w:pPr>
      <w:rPr>
        <w:rFonts w:ascii="Wingdings" w:hAnsi="Wingdings" w:hint="default"/>
      </w:rPr>
    </w:lvl>
    <w:lvl w:ilvl="3" w:tplc="040C0001" w:tentative="1">
      <w:start w:val="1"/>
      <w:numFmt w:val="bullet"/>
      <w:lvlText w:val=""/>
      <w:lvlJc w:val="left"/>
      <w:pPr>
        <w:ind w:left="3290" w:hanging="360"/>
      </w:pPr>
      <w:rPr>
        <w:rFonts w:ascii="Symbol" w:hAnsi="Symbol" w:hint="default"/>
      </w:rPr>
    </w:lvl>
    <w:lvl w:ilvl="4" w:tplc="040C0003" w:tentative="1">
      <w:start w:val="1"/>
      <w:numFmt w:val="bullet"/>
      <w:lvlText w:val="o"/>
      <w:lvlJc w:val="left"/>
      <w:pPr>
        <w:ind w:left="4010" w:hanging="360"/>
      </w:pPr>
      <w:rPr>
        <w:rFonts w:ascii="Courier New" w:hAnsi="Courier New" w:cs="Courier New" w:hint="default"/>
      </w:rPr>
    </w:lvl>
    <w:lvl w:ilvl="5" w:tplc="040C0005" w:tentative="1">
      <w:start w:val="1"/>
      <w:numFmt w:val="bullet"/>
      <w:lvlText w:val=""/>
      <w:lvlJc w:val="left"/>
      <w:pPr>
        <w:ind w:left="4730" w:hanging="360"/>
      </w:pPr>
      <w:rPr>
        <w:rFonts w:ascii="Wingdings" w:hAnsi="Wingdings" w:hint="default"/>
      </w:rPr>
    </w:lvl>
    <w:lvl w:ilvl="6" w:tplc="040C0001" w:tentative="1">
      <w:start w:val="1"/>
      <w:numFmt w:val="bullet"/>
      <w:lvlText w:val=""/>
      <w:lvlJc w:val="left"/>
      <w:pPr>
        <w:ind w:left="5450" w:hanging="360"/>
      </w:pPr>
      <w:rPr>
        <w:rFonts w:ascii="Symbol" w:hAnsi="Symbol" w:hint="default"/>
      </w:rPr>
    </w:lvl>
    <w:lvl w:ilvl="7" w:tplc="040C0003" w:tentative="1">
      <w:start w:val="1"/>
      <w:numFmt w:val="bullet"/>
      <w:lvlText w:val="o"/>
      <w:lvlJc w:val="left"/>
      <w:pPr>
        <w:ind w:left="6170" w:hanging="360"/>
      </w:pPr>
      <w:rPr>
        <w:rFonts w:ascii="Courier New" w:hAnsi="Courier New" w:cs="Courier New" w:hint="default"/>
      </w:rPr>
    </w:lvl>
    <w:lvl w:ilvl="8" w:tplc="040C0005" w:tentative="1">
      <w:start w:val="1"/>
      <w:numFmt w:val="bullet"/>
      <w:lvlText w:val=""/>
      <w:lvlJc w:val="left"/>
      <w:pPr>
        <w:ind w:left="6890" w:hanging="360"/>
      </w:pPr>
      <w:rPr>
        <w:rFonts w:ascii="Wingdings" w:hAnsi="Wingdings" w:hint="default"/>
      </w:rPr>
    </w:lvl>
  </w:abstractNum>
  <w:abstractNum w:abstractNumId="2" w15:restartNumberingAfterBreak="0">
    <w:nsid w:val="29A25F72"/>
    <w:multiLevelType w:val="hybridMultilevel"/>
    <w:tmpl w:val="9214B2E0"/>
    <w:lvl w:ilvl="0" w:tplc="91EECF5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E32606"/>
    <w:multiLevelType w:val="hybridMultilevel"/>
    <w:tmpl w:val="B8E810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546BBB"/>
    <w:multiLevelType w:val="multilevel"/>
    <w:tmpl w:val="69BCAAC4"/>
    <w:lvl w:ilvl="0">
      <w:start w:val="1"/>
      <w:numFmt w:val="upperRoman"/>
      <w:lvlText w:val="%1."/>
      <w:lvlJc w:val="left"/>
      <w:pPr>
        <w:ind w:left="1080" w:hanging="72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6B43415"/>
    <w:multiLevelType w:val="hybridMultilevel"/>
    <w:tmpl w:val="C53C216E"/>
    <w:lvl w:ilvl="0" w:tplc="040C000B">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6" w15:restartNumberingAfterBreak="0">
    <w:nsid w:val="56177D11"/>
    <w:multiLevelType w:val="multilevel"/>
    <w:tmpl w:val="20E671B8"/>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57BE622A"/>
    <w:multiLevelType w:val="hybridMultilevel"/>
    <w:tmpl w:val="2A34760E"/>
    <w:lvl w:ilvl="0" w:tplc="B50C3FC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2D838DB"/>
    <w:multiLevelType w:val="hybridMultilevel"/>
    <w:tmpl w:val="F0FA5BFA"/>
    <w:lvl w:ilvl="0" w:tplc="5D3C2000">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DE62D1"/>
    <w:multiLevelType w:val="hybridMultilevel"/>
    <w:tmpl w:val="7A22ED20"/>
    <w:lvl w:ilvl="0" w:tplc="1DB4E8E0">
      <w:start w:val="3"/>
      <w:numFmt w:val="bullet"/>
      <w:lvlText w:val="-"/>
      <w:lvlJc w:val="left"/>
      <w:pPr>
        <w:ind w:left="720" w:hanging="360"/>
      </w:pPr>
      <w:rPr>
        <w:rFonts w:ascii="Calibri" w:eastAsiaTheme="maj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90B62DA"/>
    <w:multiLevelType w:val="hybridMultilevel"/>
    <w:tmpl w:val="86086C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10"/>
  </w:num>
  <w:num w:numId="5">
    <w:abstractNumId w:val="3"/>
  </w:num>
  <w:num w:numId="6">
    <w:abstractNumId w:val="5"/>
  </w:num>
  <w:num w:numId="7">
    <w:abstractNumId w:val="1"/>
  </w:num>
  <w:num w:numId="8">
    <w:abstractNumId w:val="2"/>
  </w:num>
  <w:num w:numId="9">
    <w:abstractNumId w:val="7"/>
  </w:num>
  <w:num w:numId="10">
    <w:abstractNumId w:val="9"/>
  </w:num>
  <w:num w:numId="1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8B"/>
    <w:rsid w:val="000054EF"/>
    <w:rsid w:val="00012FE9"/>
    <w:rsid w:val="000215EE"/>
    <w:rsid w:val="000252C8"/>
    <w:rsid w:val="00030010"/>
    <w:rsid w:val="00041E8F"/>
    <w:rsid w:val="000457B9"/>
    <w:rsid w:val="0004673D"/>
    <w:rsid w:val="00046902"/>
    <w:rsid w:val="00050180"/>
    <w:rsid w:val="00050549"/>
    <w:rsid w:val="00065D27"/>
    <w:rsid w:val="00070B2B"/>
    <w:rsid w:val="00071B84"/>
    <w:rsid w:val="000774ED"/>
    <w:rsid w:val="00085E96"/>
    <w:rsid w:val="000925CE"/>
    <w:rsid w:val="000A49E2"/>
    <w:rsid w:val="000A6A86"/>
    <w:rsid w:val="000B1EE7"/>
    <w:rsid w:val="000B5B8A"/>
    <w:rsid w:val="000C34C1"/>
    <w:rsid w:val="000C70BE"/>
    <w:rsid w:val="000D18B9"/>
    <w:rsid w:val="000D2397"/>
    <w:rsid w:val="000E2DDA"/>
    <w:rsid w:val="000F0FCB"/>
    <w:rsid w:val="000F3911"/>
    <w:rsid w:val="00100C23"/>
    <w:rsid w:val="0010458A"/>
    <w:rsid w:val="00111FD4"/>
    <w:rsid w:val="00113FF1"/>
    <w:rsid w:val="001150AA"/>
    <w:rsid w:val="00116374"/>
    <w:rsid w:val="00126416"/>
    <w:rsid w:val="00133111"/>
    <w:rsid w:val="00135859"/>
    <w:rsid w:val="001415CF"/>
    <w:rsid w:val="00142C1A"/>
    <w:rsid w:val="00163353"/>
    <w:rsid w:val="00164580"/>
    <w:rsid w:val="00172AA2"/>
    <w:rsid w:val="00176F02"/>
    <w:rsid w:val="00177BD3"/>
    <w:rsid w:val="00186B31"/>
    <w:rsid w:val="0019146C"/>
    <w:rsid w:val="00194F0C"/>
    <w:rsid w:val="0019752C"/>
    <w:rsid w:val="001A0BBB"/>
    <w:rsid w:val="001A1D38"/>
    <w:rsid w:val="001A4674"/>
    <w:rsid w:val="001C0DE8"/>
    <w:rsid w:val="001C7C64"/>
    <w:rsid w:val="001E04A9"/>
    <w:rsid w:val="001F7441"/>
    <w:rsid w:val="002011CC"/>
    <w:rsid w:val="002057A3"/>
    <w:rsid w:val="00205E62"/>
    <w:rsid w:val="00213732"/>
    <w:rsid w:val="002138E7"/>
    <w:rsid w:val="0023095A"/>
    <w:rsid w:val="002310B9"/>
    <w:rsid w:val="00240277"/>
    <w:rsid w:val="0025079F"/>
    <w:rsid w:val="002548AB"/>
    <w:rsid w:val="00255E41"/>
    <w:rsid w:val="002612CB"/>
    <w:rsid w:val="002656E9"/>
    <w:rsid w:val="00276E46"/>
    <w:rsid w:val="00284CD6"/>
    <w:rsid w:val="00287CCA"/>
    <w:rsid w:val="00291E8B"/>
    <w:rsid w:val="00295C59"/>
    <w:rsid w:val="00297013"/>
    <w:rsid w:val="002A4973"/>
    <w:rsid w:val="002A51BE"/>
    <w:rsid w:val="002B347B"/>
    <w:rsid w:val="002C3A0C"/>
    <w:rsid w:val="002C54A7"/>
    <w:rsid w:val="002D0531"/>
    <w:rsid w:val="002D1BB2"/>
    <w:rsid w:val="002E5FDE"/>
    <w:rsid w:val="002E61A7"/>
    <w:rsid w:val="00300146"/>
    <w:rsid w:val="00301357"/>
    <w:rsid w:val="00302142"/>
    <w:rsid w:val="00302A9D"/>
    <w:rsid w:val="00303DB0"/>
    <w:rsid w:val="0030568A"/>
    <w:rsid w:val="00307C86"/>
    <w:rsid w:val="00321473"/>
    <w:rsid w:val="00322732"/>
    <w:rsid w:val="0032770D"/>
    <w:rsid w:val="00331664"/>
    <w:rsid w:val="00333043"/>
    <w:rsid w:val="00335A4D"/>
    <w:rsid w:val="00341F64"/>
    <w:rsid w:val="00343284"/>
    <w:rsid w:val="0035101E"/>
    <w:rsid w:val="0035292C"/>
    <w:rsid w:val="00354650"/>
    <w:rsid w:val="00371E9E"/>
    <w:rsid w:val="00376EB2"/>
    <w:rsid w:val="00377FF4"/>
    <w:rsid w:val="003836AB"/>
    <w:rsid w:val="00383FB5"/>
    <w:rsid w:val="0039480E"/>
    <w:rsid w:val="00397660"/>
    <w:rsid w:val="00397E1D"/>
    <w:rsid w:val="003B2907"/>
    <w:rsid w:val="003B3DBA"/>
    <w:rsid w:val="003B572D"/>
    <w:rsid w:val="003B5AF6"/>
    <w:rsid w:val="003C2E01"/>
    <w:rsid w:val="003C6CF6"/>
    <w:rsid w:val="003D45D7"/>
    <w:rsid w:val="003D6916"/>
    <w:rsid w:val="003E43D8"/>
    <w:rsid w:val="003E588E"/>
    <w:rsid w:val="00407A6C"/>
    <w:rsid w:val="00420631"/>
    <w:rsid w:val="00421006"/>
    <w:rsid w:val="00422CF5"/>
    <w:rsid w:val="00425556"/>
    <w:rsid w:val="00430EC6"/>
    <w:rsid w:val="00434F13"/>
    <w:rsid w:val="004428BF"/>
    <w:rsid w:val="00455AD8"/>
    <w:rsid w:val="00460003"/>
    <w:rsid w:val="004619DB"/>
    <w:rsid w:val="004621A1"/>
    <w:rsid w:val="004623F1"/>
    <w:rsid w:val="004710C3"/>
    <w:rsid w:val="0047538B"/>
    <w:rsid w:val="00485E23"/>
    <w:rsid w:val="00486EB7"/>
    <w:rsid w:val="004905A8"/>
    <w:rsid w:val="0049565B"/>
    <w:rsid w:val="004A0659"/>
    <w:rsid w:val="004A6FAF"/>
    <w:rsid w:val="004B0EF8"/>
    <w:rsid w:val="004B5BD0"/>
    <w:rsid w:val="004B660F"/>
    <w:rsid w:val="004B6C5F"/>
    <w:rsid w:val="004D1694"/>
    <w:rsid w:val="004D784C"/>
    <w:rsid w:val="004E25F6"/>
    <w:rsid w:val="004E2A8A"/>
    <w:rsid w:val="004F029D"/>
    <w:rsid w:val="004F33AF"/>
    <w:rsid w:val="00501448"/>
    <w:rsid w:val="0050245A"/>
    <w:rsid w:val="0051739C"/>
    <w:rsid w:val="00524856"/>
    <w:rsid w:val="005301BC"/>
    <w:rsid w:val="005330CF"/>
    <w:rsid w:val="00535782"/>
    <w:rsid w:val="005378C9"/>
    <w:rsid w:val="00550389"/>
    <w:rsid w:val="00554B72"/>
    <w:rsid w:val="00570493"/>
    <w:rsid w:val="0057722C"/>
    <w:rsid w:val="005875B3"/>
    <w:rsid w:val="00591332"/>
    <w:rsid w:val="00592790"/>
    <w:rsid w:val="00594878"/>
    <w:rsid w:val="00596A64"/>
    <w:rsid w:val="00597B06"/>
    <w:rsid w:val="005A1D6E"/>
    <w:rsid w:val="005B4705"/>
    <w:rsid w:val="005B7672"/>
    <w:rsid w:val="005C1013"/>
    <w:rsid w:val="005C6EAE"/>
    <w:rsid w:val="005E2DBB"/>
    <w:rsid w:val="005E3AC3"/>
    <w:rsid w:val="005F449D"/>
    <w:rsid w:val="005F45B6"/>
    <w:rsid w:val="005F5FD8"/>
    <w:rsid w:val="0060697B"/>
    <w:rsid w:val="00610285"/>
    <w:rsid w:val="00614985"/>
    <w:rsid w:val="00621574"/>
    <w:rsid w:val="0062413F"/>
    <w:rsid w:val="006278FA"/>
    <w:rsid w:val="00630AB5"/>
    <w:rsid w:val="00637BCD"/>
    <w:rsid w:val="00642CDF"/>
    <w:rsid w:val="00653379"/>
    <w:rsid w:val="00660103"/>
    <w:rsid w:val="00660D84"/>
    <w:rsid w:val="00665847"/>
    <w:rsid w:val="00671CF8"/>
    <w:rsid w:val="00672171"/>
    <w:rsid w:val="00675310"/>
    <w:rsid w:val="00683B38"/>
    <w:rsid w:val="006904DF"/>
    <w:rsid w:val="006A151C"/>
    <w:rsid w:val="006A2F61"/>
    <w:rsid w:val="006A6966"/>
    <w:rsid w:val="006B31FA"/>
    <w:rsid w:val="006B3725"/>
    <w:rsid w:val="006B53FB"/>
    <w:rsid w:val="006B713C"/>
    <w:rsid w:val="006C22CE"/>
    <w:rsid w:val="006C3F46"/>
    <w:rsid w:val="006C62E6"/>
    <w:rsid w:val="006D4804"/>
    <w:rsid w:val="006E1622"/>
    <w:rsid w:val="006E57A1"/>
    <w:rsid w:val="006F0B16"/>
    <w:rsid w:val="006F0C33"/>
    <w:rsid w:val="006F7366"/>
    <w:rsid w:val="0070044B"/>
    <w:rsid w:val="00700CC2"/>
    <w:rsid w:val="00712AFC"/>
    <w:rsid w:val="007206B7"/>
    <w:rsid w:val="00720AC6"/>
    <w:rsid w:val="007310E2"/>
    <w:rsid w:val="00731A2B"/>
    <w:rsid w:val="00732959"/>
    <w:rsid w:val="007365E1"/>
    <w:rsid w:val="00742A33"/>
    <w:rsid w:val="00745481"/>
    <w:rsid w:val="00745D21"/>
    <w:rsid w:val="0075320D"/>
    <w:rsid w:val="00761201"/>
    <w:rsid w:val="00761D2F"/>
    <w:rsid w:val="0077602A"/>
    <w:rsid w:val="007770D4"/>
    <w:rsid w:val="00780799"/>
    <w:rsid w:val="00780F85"/>
    <w:rsid w:val="0078152E"/>
    <w:rsid w:val="007847E3"/>
    <w:rsid w:val="00786167"/>
    <w:rsid w:val="00786D3D"/>
    <w:rsid w:val="00793D1E"/>
    <w:rsid w:val="0079416F"/>
    <w:rsid w:val="007A2582"/>
    <w:rsid w:val="007A48C9"/>
    <w:rsid w:val="007A6573"/>
    <w:rsid w:val="007B2F9A"/>
    <w:rsid w:val="007C4A82"/>
    <w:rsid w:val="007C7BD8"/>
    <w:rsid w:val="007D1A0F"/>
    <w:rsid w:val="007D4557"/>
    <w:rsid w:val="007E0B7D"/>
    <w:rsid w:val="007E13B2"/>
    <w:rsid w:val="007E163F"/>
    <w:rsid w:val="007E28FB"/>
    <w:rsid w:val="007E2BC1"/>
    <w:rsid w:val="007E38E1"/>
    <w:rsid w:val="007F7BE9"/>
    <w:rsid w:val="00803BC6"/>
    <w:rsid w:val="008117F3"/>
    <w:rsid w:val="008122AD"/>
    <w:rsid w:val="0081388A"/>
    <w:rsid w:val="00813CF6"/>
    <w:rsid w:val="00825FA5"/>
    <w:rsid w:val="00831421"/>
    <w:rsid w:val="00835397"/>
    <w:rsid w:val="008425C6"/>
    <w:rsid w:val="00845400"/>
    <w:rsid w:val="00847DB8"/>
    <w:rsid w:val="00850DFE"/>
    <w:rsid w:val="00854C38"/>
    <w:rsid w:val="0086253D"/>
    <w:rsid w:val="00867AC9"/>
    <w:rsid w:val="008703AC"/>
    <w:rsid w:val="00877E5F"/>
    <w:rsid w:val="00885042"/>
    <w:rsid w:val="008A53B7"/>
    <w:rsid w:val="008A784A"/>
    <w:rsid w:val="008C1A88"/>
    <w:rsid w:val="008D6792"/>
    <w:rsid w:val="008D7843"/>
    <w:rsid w:val="008E2243"/>
    <w:rsid w:val="008E411C"/>
    <w:rsid w:val="008E61D9"/>
    <w:rsid w:val="008F1103"/>
    <w:rsid w:val="008F570C"/>
    <w:rsid w:val="008F7037"/>
    <w:rsid w:val="008F7C29"/>
    <w:rsid w:val="008F7D70"/>
    <w:rsid w:val="00902974"/>
    <w:rsid w:val="00902F3C"/>
    <w:rsid w:val="0093515A"/>
    <w:rsid w:val="009401F4"/>
    <w:rsid w:val="00945CD1"/>
    <w:rsid w:val="00957551"/>
    <w:rsid w:val="00965420"/>
    <w:rsid w:val="00976C87"/>
    <w:rsid w:val="0097716B"/>
    <w:rsid w:val="009804CC"/>
    <w:rsid w:val="00980CE2"/>
    <w:rsid w:val="0098727E"/>
    <w:rsid w:val="00992E3F"/>
    <w:rsid w:val="00996411"/>
    <w:rsid w:val="009A0F43"/>
    <w:rsid w:val="009C0B29"/>
    <w:rsid w:val="009C1733"/>
    <w:rsid w:val="009C31B9"/>
    <w:rsid w:val="009C6156"/>
    <w:rsid w:val="009D2C8B"/>
    <w:rsid w:val="009E0E2C"/>
    <w:rsid w:val="009E273B"/>
    <w:rsid w:val="009E5D92"/>
    <w:rsid w:val="009F1C0F"/>
    <w:rsid w:val="009F3A82"/>
    <w:rsid w:val="009F6551"/>
    <w:rsid w:val="00A005B2"/>
    <w:rsid w:val="00A00E45"/>
    <w:rsid w:val="00A01B5A"/>
    <w:rsid w:val="00A138E9"/>
    <w:rsid w:val="00A15F0F"/>
    <w:rsid w:val="00A2370A"/>
    <w:rsid w:val="00A2644A"/>
    <w:rsid w:val="00A3003E"/>
    <w:rsid w:val="00A36166"/>
    <w:rsid w:val="00A414EE"/>
    <w:rsid w:val="00A54109"/>
    <w:rsid w:val="00A56CB4"/>
    <w:rsid w:val="00A6241E"/>
    <w:rsid w:val="00A630EE"/>
    <w:rsid w:val="00A71090"/>
    <w:rsid w:val="00A72A8C"/>
    <w:rsid w:val="00A8080F"/>
    <w:rsid w:val="00AA2FA9"/>
    <w:rsid w:val="00AA5045"/>
    <w:rsid w:val="00AA63C0"/>
    <w:rsid w:val="00AA74FB"/>
    <w:rsid w:val="00AB08F5"/>
    <w:rsid w:val="00AB09AF"/>
    <w:rsid w:val="00AB4558"/>
    <w:rsid w:val="00AB5D12"/>
    <w:rsid w:val="00AC26D4"/>
    <w:rsid w:val="00AC4512"/>
    <w:rsid w:val="00AD1DA1"/>
    <w:rsid w:val="00AD3CC4"/>
    <w:rsid w:val="00AF441F"/>
    <w:rsid w:val="00AF49A1"/>
    <w:rsid w:val="00B01ED7"/>
    <w:rsid w:val="00B07F22"/>
    <w:rsid w:val="00B14A8C"/>
    <w:rsid w:val="00B23632"/>
    <w:rsid w:val="00B24D5E"/>
    <w:rsid w:val="00B327AC"/>
    <w:rsid w:val="00B445A4"/>
    <w:rsid w:val="00B47B91"/>
    <w:rsid w:val="00B62E7F"/>
    <w:rsid w:val="00B739E4"/>
    <w:rsid w:val="00B7697A"/>
    <w:rsid w:val="00B773D5"/>
    <w:rsid w:val="00B826D9"/>
    <w:rsid w:val="00B978F6"/>
    <w:rsid w:val="00BA1EDE"/>
    <w:rsid w:val="00BA5D90"/>
    <w:rsid w:val="00BB19AB"/>
    <w:rsid w:val="00BB691E"/>
    <w:rsid w:val="00BB7DF6"/>
    <w:rsid w:val="00BC00D5"/>
    <w:rsid w:val="00BC602F"/>
    <w:rsid w:val="00BD1F2F"/>
    <w:rsid w:val="00BE0751"/>
    <w:rsid w:val="00BE1188"/>
    <w:rsid w:val="00BE1FD6"/>
    <w:rsid w:val="00BE7B8A"/>
    <w:rsid w:val="00BF0DDB"/>
    <w:rsid w:val="00C03DD7"/>
    <w:rsid w:val="00C054CC"/>
    <w:rsid w:val="00C064D3"/>
    <w:rsid w:val="00C06D36"/>
    <w:rsid w:val="00C11AEA"/>
    <w:rsid w:val="00C17E5F"/>
    <w:rsid w:val="00C21933"/>
    <w:rsid w:val="00C263D3"/>
    <w:rsid w:val="00C27DFB"/>
    <w:rsid w:val="00C27E75"/>
    <w:rsid w:val="00C36A2D"/>
    <w:rsid w:val="00C41B03"/>
    <w:rsid w:val="00C446A0"/>
    <w:rsid w:val="00C47CAD"/>
    <w:rsid w:val="00C53485"/>
    <w:rsid w:val="00C63FEB"/>
    <w:rsid w:val="00C750F3"/>
    <w:rsid w:val="00C77A1E"/>
    <w:rsid w:val="00C77C2E"/>
    <w:rsid w:val="00C80455"/>
    <w:rsid w:val="00C8182F"/>
    <w:rsid w:val="00C823E2"/>
    <w:rsid w:val="00C904DF"/>
    <w:rsid w:val="00C9103C"/>
    <w:rsid w:val="00C91536"/>
    <w:rsid w:val="00C94CEB"/>
    <w:rsid w:val="00CA38D7"/>
    <w:rsid w:val="00CA688A"/>
    <w:rsid w:val="00CB5CC9"/>
    <w:rsid w:val="00CC120C"/>
    <w:rsid w:val="00CC3FC6"/>
    <w:rsid w:val="00CC44B2"/>
    <w:rsid w:val="00CC5C0C"/>
    <w:rsid w:val="00CD0388"/>
    <w:rsid w:val="00CD1A3F"/>
    <w:rsid w:val="00CE2EC0"/>
    <w:rsid w:val="00CF08E2"/>
    <w:rsid w:val="00CF49DD"/>
    <w:rsid w:val="00CF7A37"/>
    <w:rsid w:val="00D04B20"/>
    <w:rsid w:val="00D10638"/>
    <w:rsid w:val="00D12919"/>
    <w:rsid w:val="00D14591"/>
    <w:rsid w:val="00D16656"/>
    <w:rsid w:val="00D41B46"/>
    <w:rsid w:val="00D432AA"/>
    <w:rsid w:val="00D45BE7"/>
    <w:rsid w:val="00D512CB"/>
    <w:rsid w:val="00D51457"/>
    <w:rsid w:val="00D51FC2"/>
    <w:rsid w:val="00D657C3"/>
    <w:rsid w:val="00D7190C"/>
    <w:rsid w:val="00D90C1A"/>
    <w:rsid w:val="00DA3FB5"/>
    <w:rsid w:val="00DA4560"/>
    <w:rsid w:val="00DA59BC"/>
    <w:rsid w:val="00DB277B"/>
    <w:rsid w:val="00DB5F92"/>
    <w:rsid w:val="00DC58A3"/>
    <w:rsid w:val="00DD589D"/>
    <w:rsid w:val="00DD6BF1"/>
    <w:rsid w:val="00E07338"/>
    <w:rsid w:val="00E12775"/>
    <w:rsid w:val="00E13278"/>
    <w:rsid w:val="00E16DE7"/>
    <w:rsid w:val="00E22CE3"/>
    <w:rsid w:val="00E22F22"/>
    <w:rsid w:val="00E35061"/>
    <w:rsid w:val="00E36ECD"/>
    <w:rsid w:val="00E46645"/>
    <w:rsid w:val="00E4784C"/>
    <w:rsid w:val="00E53C15"/>
    <w:rsid w:val="00E63408"/>
    <w:rsid w:val="00E7233A"/>
    <w:rsid w:val="00E8384A"/>
    <w:rsid w:val="00E849C4"/>
    <w:rsid w:val="00E92312"/>
    <w:rsid w:val="00EA53B5"/>
    <w:rsid w:val="00EB084A"/>
    <w:rsid w:val="00EB516F"/>
    <w:rsid w:val="00ED07BF"/>
    <w:rsid w:val="00ED13E7"/>
    <w:rsid w:val="00ED32B4"/>
    <w:rsid w:val="00ED33C9"/>
    <w:rsid w:val="00EE1643"/>
    <w:rsid w:val="00EE57FC"/>
    <w:rsid w:val="00EF220E"/>
    <w:rsid w:val="00EF7040"/>
    <w:rsid w:val="00F00EA8"/>
    <w:rsid w:val="00F032F3"/>
    <w:rsid w:val="00F07711"/>
    <w:rsid w:val="00F15A45"/>
    <w:rsid w:val="00F179A9"/>
    <w:rsid w:val="00F30F76"/>
    <w:rsid w:val="00F31815"/>
    <w:rsid w:val="00F36D65"/>
    <w:rsid w:val="00F402B3"/>
    <w:rsid w:val="00F45BDF"/>
    <w:rsid w:val="00F468E8"/>
    <w:rsid w:val="00F46F52"/>
    <w:rsid w:val="00F517BB"/>
    <w:rsid w:val="00F5508C"/>
    <w:rsid w:val="00F641F6"/>
    <w:rsid w:val="00F666E2"/>
    <w:rsid w:val="00F739E8"/>
    <w:rsid w:val="00F76CB2"/>
    <w:rsid w:val="00F771C6"/>
    <w:rsid w:val="00F80C0B"/>
    <w:rsid w:val="00F93A44"/>
    <w:rsid w:val="00F93BCC"/>
    <w:rsid w:val="00FA0027"/>
    <w:rsid w:val="00FA031A"/>
    <w:rsid w:val="00FA28F5"/>
    <w:rsid w:val="00FB1CEA"/>
    <w:rsid w:val="00FB46E8"/>
    <w:rsid w:val="00FB5133"/>
    <w:rsid w:val="00FC1B6B"/>
    <w:rsid w:val="00FC3D05"/>
    <w:rsid w:val="00FE0FDF"/>
    <w:rsid w:val="00FE1FEE"/>
    <w:rsid w:val="00FF4E73"/>
    <w:rsid w:val="00FF7D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220D8"/>
  <w15:docId w15:val="{7145B965-EBF7-4F04-9817-EFA5EDB7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E57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F771C6"/>
    <w:pPr>
      <w:keepNext/>
      <w:keepLines/>
      <w:spacing w:after="0"/>
      <w:outlineLvl w:val="1"/>
    </w:pPr>
    <w:rPr>
      <w:rFonts w:eastAsiaTheme="majorEastAsia" w:cstheme="majorBidi"/>
      <w:b/>
      <w:sz w:val="24"/>
      <w:szCs w:val="26"/>
      <w:u w:val="single"/>
    </w:rPr>
  </w:style>
  <w:style w:type="paragraph" w:styleId="Titre3">
    <w:name w:val="heading 3"/>
    <w:basedOn w:val="Normal"/>
    <w:next w:val="Normal"/>
    <w:link w:val="Titre3Car"/>
    <w:uiPriority w:val="9"/>
    <w:unhideWhenUsed/>
    <w:qFormat/>
    <w:rsid w:val="00AF49A1"/>
    <w:pPr>
      <w:keepNext/>
      <w:keepLines/>
      <w:spacing w:before="40" w:after="0"/>
      <w:outlineLvl w:val="2"/>
    </w:pPr>
    <w:rPr>
      <w:rFonts w:eastAsiaTheme="majorEastAsia" w:cstheme="majorBidi"/>
      <w:b/>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753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538B"/>
    <w:rPr>
      <w:rFonts w:ascii="Tahoma" w:hAnsi="Tahoma" w:cs="Tahoma"/>
      <w:sz w:val="16"/>
      <w:szCs w:val="16"/>
    </w:rPr>
  </w:style>
  <w:style w:type="paragraph" w:styleId="En-tte">
    <w:name w:val="header"/>
    <w:basedOn w:val="Normal"/>
    <w:link w:val="En-tteCar"/>
    <w:uiPriority w:val="99"/>
    <w:unhideWhenUsed/>
    <w:rsid w:val="00430EC6"/>
    <w:pPr>
      <w:tabs>
        <w:tab w:val="center" w:pos="4536"/>
        <w:tab w:val="right" w:pos="9072"/>
      </w:tabs>
      <w:spacing w:after="0" w:line="240" w:lineRule="auto"/>
    </w:pPr>
  </w:style>
  <w:style w:type="character" w:customStyle="1" w:styleId="En-tteCar">
    <w:name w:val="En-tête Car"/>
    <w:basedOn w:val="Policepardfaut"/>
    <w:link w:val="En-tte"/>
    <w:uiPriority w:val="99"/>
    <w:rsid w:val="00430EC6"/>
  </w:style>
  <w:style w:type="paragraph" w:styleId="Pieddepage">
    <w:name w:val="footer"/>
    <w:basedOn w:val="Normal"/>
    <w:link w:val="PieddepageCar"/>
    <w:uiPriority w:val="99"/>
    <w:unhideWhenUsed/>
    <w:rsid w:val="00430E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0EC6"/>
  </w:style>
  <w:style w:type="paragraph" w:styleId="Paragraphedeliste">
    <w:name w:val="List Paragraph"/>
    <w:basedOn w:val="Normal"/>
    <w:link w:val="ParagraphedelisteCar"/>
    <w:uiPriority w:val="34"/>
    <w:qFormat/>
    <w:rsid w:val="00126416"/>
    <w:pPr>
      <w:ind w:left="720"/>
      <w:contextualSpacing/>
    </w:pPr>
    <w:rPr>
      <w:b/>
      <w:sz w:val="24"/>
      <w:u w:val="single"/>
    </w:rPr>
  </w:style>
  <w:style w:type="character" w:styleId="Marquedecommentaire">
    <w:name w:val="annotation reference"/>
    <w:basedOn w:val="Policepardfaut"/>
    <w:uiPriority w:val="99"/>
    <w:semiHidden/>
    <w:unhideWhenUsed/>
    <w:rsid w:val="005330CF"/>
    <w:rPr>
      <w:sz w:val="16"/>
      <w:szCs w:val="16"/>
    </w:rPr>
  </w:style>
  <w:style w:type="paragraph" w:styleId="Commentaire">
    <w:name w:val="annotation text"/>
    <w:basedOn w:val="Normal"/>
    <w:link w:val="CommentaireCar"/>
    <w:uiPriority w:val="99"/>
    <w:semiHidden/>
    <w:unhideWhenUsed/>
    <w:rsid w:val="005330CF"/>
    <w:pPr>
      <w:spacing w:line="240" w:lineRule="auto"/>
    </w:pPr>
    <w:rPr>
      <w:sz w:val="20"/>
      <w:szCs w:val="20"/>
    </w:rPr>
  </w:style>
  <w:style w:type="character" w:customStyle="1" w:styleId="CommentaireCar">
    <w:name w:val="Commentaire Car"/>
    <w:basedOn w:val="Policepardfaut"/>
    <w:link w:val="Commentaire"/>
    <w:uiPriority w:val="99"/>
    <w:semiHidden/>
    <w:rsid w:val="005330CF"/>
    <w:rPr>
      <w:sz w:val="20"/>
      <w:szCs w:val="20"/>
    </w:rPr>
  </w:style>
  <w:style w:type="paragraph" w:styleId="Objetducommentaire">
    <w:name w:val="annotation subject"/>
    <w:basedOn w:val="Commentaire"/>
    <w:next w:val="Commentaire"/>
    <w:link w:val="ObjetducommentaireCar"/>
    <w:uiPriority w:val="99"/>
    <w:semiHidden/>
    <w:unhideWhenUsed/>
    <w:rsid w:val="005330CF"/>
    <w:rPr>
      <w:b/>
      <w:bCs/>
    </w:rPr>
  </w:style>
  <w:style w:type="character" w:customStyle="1" w:styleId="ObjetducommentaireCar">
    <w:name w:val="Objet du commentaire Car"/>
    <w:basedOn w:val="CommentaireCar"/>
    <w:link w:val="Objetducommentaire"/>
    <w:uiPriority w:val="99"/>
    <w:semiHidden/>
    <w:rsid w:val="005330CF"/>
    <w:rPr>
      <w:b/>
      <w:bCs/>
      <w:sz w:val="20"/>
      <w:szCs w:val="20"/>
    </w:rPr>
  </w:style>
  <w:style w:type="character" w:customStyle="1" w:styleId="Titre1Car">
    <w:name w:val="Titre 1 Car"/>
    <w:basedOn w:val="Policepardfaut"/>
    <w:link w:val="Titre1"/>
    <w:uiPriority w:val="9"/>
    <w:rsid w:val="006E57A1"/>
    <w:rPr>
      <w:rFonts w:asciiTheme="majorHAnsi" w:eastAsiaTheme="majorEastAsia" w:hAnsiTheme="majorHAnsi" w:cstheme="majorBidi"/>
      <w:color w:val="365F91" w:themeColor="accent1" w:themeShade="BF"/>
      <w:sz w:val="32"/>
      <w:szCs w:val="32"/>
    </w:rPr>
  </w:style>
  <w:style w:type="paragraph" w:styleId="Corpsdetexte">
    <w:name w:val="Body Text"/>
    <w:basedOn w:val="Normal"/>
    <w:link w:val="CorpsdetexteCar"/>
    <w:rsid w:val="008A784A"/>
    <w:pPr>
      <w:spacing w:after="120" w:line="240" w:lineRule="auto"/>
      <w:jc w:val="both"/>
    </w:pPr>
    <w:rPr>
      <w:rFonts w:ascii="Arial" w:eastAsia="Times New Roman" w:hAnsi="Arial" w:cs="Tahoma"/>
      <w:sz w:val="20"/>
      <w:szCs w:val="17"/>
      <w:lang w:eastAsia="en-US" w:bidi="hi-IN"/>
    </w:rPr>
  </w:style>
  <w:style w:type="character" w:customStyle="1" w:styleId="CorpsdetexteCar">
    <w:name w:val="Corps de texte Car"/>
    <w:basedOn w:val="Policepardfaut"/>
    <w:link w:val="Corpsdetexte"/>
    <w:rsid w:val="008A784A"/>
    <w:rPr>
      <w:rFonts w:ascii="Arial" w:eastAsia="Times New Roman" w:hAnsi="Arial" w:cs="Tahoma"/>
      <w:sz w:val="20"/>
      <w:szCs w:val="17"/>
      <w:lang w:eastAsia="en-US" w:bidi="hi-IN"/>
    </w:rPr>
  </w:style>
  <w:style w:type="paragraph" w:styleId="Sansinterligne">
    <w:name w:val="No Spacing"/>
    <w:uiPriority w:val="1"/>
    <w:qFormat/>
    <w:rsid w:val="00301357"/>
    <w:pPr>
      <w:spacing w:after="0" w:line="240" w:lineRule="auto"/>
    </w:pPr>
  </w:style>
  <w:style w:type="character" w:customStyle="1" w:styleId="ParagraphedelisteCar">
    <w:name w:val="Paragraphe de liste Car"/>
    <w:link w:val="Paragraphedeliste"/>
    <w:uiPriority w:val="34"/>
    <w:rsid w:val="00126416"/>
    <w:rPr>
      <w:b/>
      <w:sz w:val="24"/>
      <w:u w:val="single"/>
    </w:rPr>
  </w:style>
  <w:style w:type="character" w:styleId="Lienhypertexte">
    <w:name w:val="Hyperlink"/>
    <w:basedOn w:val="Policepardfaut"/>
    <w:uiPriority w:val="99"/>
    <w:unhideWhenUsed/>
    <w:rsid w:val="008703AC"/>
    <w:rPr>
      <w:color w:val="0000FF" w:themeColor="hyperlink"/>
      <w:u w:val="single"/>
    </w:rPr>
  </w:style>
  <w:style w:type="paragraph" w:styleId="En-ttedetabledesmatires">
    <w:name w:val="TOC Heading"/>
    <w:basedOn w:val="Titre1"/>
    <w:next w:val="Normal"/>
    <w:uiPriority w:val="39"/>
    <w:unhideWhenUsed/>
    <w:qFormat/>
    <w:rsid w:val="00213732"/>
    <w:pPr>
      <w:spacing w:line="259" w:lineRule="auto"/>
      <w:outlineLvl w:val="9"/>
    </w:pPr>
  </w:style>
  <w:style w:type="paragraph" w:styleId="TM1">
    <w:name w:val="toc 1"/>
    <w:basedOn w:val="Normal"/>
    <w:next w:val="Normal"/>
    <w:autoRedefine/>
    <w:uiPriority w:val="39"/>
    <w:unhideWhenUsed/>
    <w:rsid w:val="00213732"/>
    <w:pPr>
      <w:spacing w:after="100"/>
    </w:pPr>
  </w:style>
  <w:style w:type="paragraph" w:styleId="TM2">
    <w:name w:val="toc 2"/>
    <w:basedOn w:val="Normal"/>
    <w:next w:val="Normal"/>
    <w:autoRedefine/>
    <w:uiPriority w:val="39"/>
    <w:unhideWhenUsed/>
    <w:rsid w:val="00213732"/>
    <w:pPr>
      <w:spacing w:after="100" w:line="259" w:lineRule="auto"/>
      <w:ind w:left="220"/>
    </w:pPr>
    <w:rPr>
      <w:rFonts w:cs="Times New Roman"/>
    </w:rPr>
  </w:style>
  <w:style w:type="paragraph" w:styleId="TM3">
    <w:name w:val="toc 3"/>
    <w:basedOn w:val="Normal"/>
    <w:next w:val="Normal"/>
    <w:autoRedefine/>
    <w:uiPriority w:val="39"/>
    <w:unhideWhenUsed/>
    <w:rsid w:val="00213732"/>
    <w:pPr>
      <w:spacing w:after="100" w:line="259" w:lineRule="auto"/>
      <w:ind w:left="440"/>
    </w:pPr>
    <w:rPr>
      <w:rFonts w:cs="Times New Roman"/>
    </w:rPr>
  </w:style>
  <w:style w:type="character" w:customStyle="1" w:styleId="Titre2Car">
    <w:name w:val="Titre 2 Car"/>
    <w:basedOn w:val="Policepardfaut"/>
    <w:link w:val="Titre2"/>
    <w:uiPriority w:val="9"/>
    <w:rsid w:val="00F771C6"/>
    <w:rPr>
      <w:rFonts w:eastAsiaTheme="majorEastAsia" w:cstheme="majorBidi"/>
      <w:b/>
      <w:sz w:val="24"/>
      <w:szCs w:val="26"/>
      <w:u w:val="single"/>
    </w:rPr>
  </w:style>
  <w:style w:type="table" w:styleId="Grilledutableau">
    <w:name w:val="Table Grid"/>
    <w:basedOn w:val="TableauNormal"/>
    <w:uiPriority w:val="59"/>
    <w:rsid w:val="00E72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AF49A1"/>
    <w:rPr>
      <w:rFonts w:eastAsiaTheme="majorEastAsia" w:cstheme="majorBidi"/>
      <w:b/>
      <w:szCs w:val="24"/>
      <w:u w:val="single"/>
    </w:rPr>
  </w:style>
  <w:style w:type="table" w:customStyle="1" w:styleId="Grilledutableau2">
    <w:name w:val="Grille du tableau2"/>
    <w:basedOn w:val="TableauNormal"/>
    <w:next w:val="Grilledutableau"/>
    <w:uiPriority w:val="39"/>
    <w:rsid w:val="005E3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2E5FDE"/>
    <w:rPr>
      <w:b/>
      <w:bCs/>
    </w:rPr>
  </w:style>
  <w:style w:type="character" w:customStyle="1" w:styleId="tool-tip">
    <w:name w:val="tool-tip"/>
    <w:basedOn w:val="Policepardfaut"/>
    <w:rsid w:val="00321473"/>
  </w:style>
  <w:style w:type="character" w:customStyle="1" w:styleId="sr-only">
    <w:name w:val="sr-only"/>
    <w:basedOn w:val="Policepardfaut"/>
    <w:rsid w:val="00321473"/>
  </w:style>
  <w:style w:type="paragraph" w:styleId="Notedebasdepage">
    <w:name w:val="footnote text"/>
    <w:basedOn w:val="Normal"/>
    <w:link w:val="NotedebasdepageCar"/>
    <w:uiPriority w:val="99"/>
    <w:semiHidden/>
    <w:unhideWhenUsed/>
    <w:rsid w:val="0066010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60103"/>
    <w:rPr>
      <w:sz w:val="20"/>
      <w:szCs w:val="20"/>
    </w:rPr>
  </w:style>
  <w:style w:type="character" w:styleId="Appelnotedebasdep">
    <w:name w:val="footnote reference"/>
    <w:basedOn w:val="Policepardfaut"/>
    <w:uiPriority w:val="99"/>
    <w:semiHidden/>
    <w:unhideWhenUsed/>
    <w:rsid w:val="006601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422955">
      <w:bodyDiv w:val="1"/>
      <w:marLeft w:val="0"/>
      <w:marRight w:val="0"/>
      <w:marTop w:val="0"/>
      <w:marBottom w:val="0"/>
      <w:divBdr>
        <w:top w:val="none" w:sz="0" w:space="0" w:color="auto"/>
        <w:left w:val="none" w:sz="0" w:space="0" w:color="auto"/>
        <w:bottom w:val="none" w:sz="0" w:space="0" w:color="auto"/>
        <w:right w:val="none" w:sz="0" w:space="0" w:color="auto"/>
      </w:divBdr>
      <w:divsChild>
        <w:div w:id="1646544995">
          <w:marLeft w:val="0"/>
          <w:marRight w:val="0"/>
          <w:marTop w:val="0"/>
          <w:marBottom w:val="0"/>
          <w:divBdr>
            <w:top w:val="none" w:sz="0" w:space="0" w:color="auto"/>
            <w:left w:val="none" w:sz="0" w:space="0" w:color="auto"/>
            <w:bottom w:val="none" w:sz="0" w:space="0" w:color="auto"/>
            <w:right w:val="none" w:sz="0" w:space="0" w:color="auto"/>
          </w:divBdr>
          <w:divsChild>
            <w:div w:id="1419596108">
              <w:marLeft w:val="0"/>
              <w:marRight w:val="0"/>
              <w:marTop w:val="0"/>
              <w:marBottom w:val="0"/>
              <w:divBdr>
                <w:top w:val="none" w:sz="0" w:space="0" w:color="auto"/>
                <w:left w:val="none" w:sz="0" w:space="0" w:color="auto"/>
                <w:bottom w:val="none" w:sz="0" w:space="0" w:color="auto"/>
                <w:right w:val="none" w:sz="0" w:space="0" w:color="auto"/>
              </w:divBdr>
              <w:divsChild>
                <w:div w:id="934704182">
                  <w:marLeft w:val="0"/>
                  <w:marRight w:val="0"/>
                  <w:marTop w:val="0"/>
                  <w:marBottom w:val="0"/>
                  <w:divBdr>
                    <w:top w:val="none" w:sz="0" w:space="0" w:color="auto"/>
                    <w:left w:val="none" w:sz="0" w:space="0" w:color="auto"/>
                    <w:bottom w:val="none" w:sz="0" w:space="0" w:color="auto"/>
                    <w:right w:val="none" w:sz="0" w:space="0" w:color="auto"/>
                  </w:divBdr>
                  <w:divsChild>
                    <w:div w:id="727457061">
                      <w:marLeft w:val="0"/>
                      <w:marRight w:val="345"/>
                      <w:marTop w:val="0"/>
                      <w:marBottom w:val="0"/>
                      <w:divBdr>
                        <w:top w:val="none" w:sz="0" w:space="0" w:color="auto"/>
                        <w:left w:val="none" w:sz="0" w:space="0" w:color="auto"/>
                        <w:bottom w:val="none" w:sz="0" w:space="0" w:color="auto"/>
                        <w:right w:val="none" w:sz="0" w:space="0" w:color="auto"/>
                      </w:divBdr>
                      <w:divsChild>
                        <w:div w:id="1347899763">
                          <w:marLeft w:val="0"/>
                          <w:marRight w:val="0"/>
                          <w:marTop w:val="0"/>
                          <w:marBottom w:val="0"/>
                          <w:divBdr>
                            <w:top w:val="none" w:sz="0" w:space="0" w:color="auto"/>
                            <w:left w:val="none" w:sz="0" w:space="0" w:color="auto"/>
                            <w:bottom w:val="none" w:sz="0" w:space="0" w:color="auto"/>
                            <w:right w:val="none" w:sz="0" w:space="0" w:color="auto"/>
                          </w:divBdr>
                          <w:divsChild>
                            <w:div w:id="457844367">
                              <w:marLeft w:val="0"/>
                              <w:marRight w:val="0"/>
                              <w:marTop w:val="0"/>
                              <w:marBottom w:val="0"/>
                              <w:divBdr>
                                <w:top w:val="none" w:sz="0" w:space="0" w:color="auto"/>
                                <w:left w:val="none" w:sz="0" w:space="0" w:color="auto"/>
                                <w:bottom w:val="none" w:sz="0" w:space="0" w:color="auto"/>
                                <w:right w:val="none" w:sz="0" w:space="0" w:color="auto"/>
                              </w:divBdr>
                              <w:divsChild>
                                <w:div w:id="2019232456">
                                  <w:marLeft w:val="0"/>
                                  <w:marRight w:val="0"/>
                                  <w:marTop w:val="0"/>
                                  <w:marBottom w:val="480"/>
                                  <w:divBdr>
                                    <w:top w:val="none" w:sz="0" w:space="12" w:color="auto"/>
                                    <w:left w:val="single" w:sz="6" w:space="6" w:color="0B6BA8"/>
                                    <w:bottom w:val="single" w:sz="6" w:space="0" w:color="0B6BA8"/>
                                    <w:right w:val="single" w:sz="6" w:space="6" w:color="0B6BA8"/>
                                  </w:divBdr>
                                  <w:divsChild>
                                    <w:div w:id="848134056">
                                      <w:marLeft w:val="0"/>
                                      <w:marRight w:val="0"/>
                                      <w:marTop w:val="0"/>
                                      <w:marBottom w:val="0"/>
                                      <w:divBdr>
                                        <w:top w:val="none" w:sz="0" w:space="0" w:color="auto"/>
                                        <w:left w:val="none" w:sz="0" w:space="0" w:color="auto"/>
                                        <w:bottom w:val="none" w:sz="0" w:space="0" w:color="auto"/>
                                        <w:right w:val="none" w:sz="0" w:space="0" w:color="auto"/>
                                      </w:divBdr>
                                      <w:divsChild>
                                        <w:div w:id="810174367">
                                          <w:marLeft w:val="0"/>
                                          <w:marRight w:val="0"/>
                                          <w:marTop w:val="0"/>
                                          <w:marBottom w:val="720"/>
                                          <w:divBdr>
                                            <w:top w:val="single" w:sz="6" w:space="0" w:color="CCCCCC"/>
                                            <w:left w:val="single" w:sz="6" w:space="0" w:color="CCCCCC"/>
                                            <w:bottom w:val="single" w:sz="6" w:space="0" w:color="CCCCCC"/>
                                            <w:right w:val="single" w:sz="6" w:space="0" w:color="CCCCCC"/>
                                          </w:divBdr>
                                          <w:divsChild>
                                            <w:div w:id="1155756018">
                                              <w:marLeft w:val="0"/>
                                              <w:marRight w:val="0"/>
                                              <w:marTop w:val="0"/>
                                              <w:marBottom w:val="0"/>
                                              <w:divBdr>
                                                <w:top w:val="single" w:sz="6" w:space="0" w:color="CCCCCC"/>
                                                <w:left w:val="none" w:sz="0" w:space="0" w:color="auto"/>
                                                <w:bottom w:val="none" w:sz="0" w:space="0" w:color="auto"/>
                                                <w:right w:val="none" w:sz="0" w:space="0" w:color="auto"/>
                                              </w:divBdr>
                                              <w:divsChild>
                                                <w:div w:id="366492351">
                                                  <w:marLeft w:val="0"/>
                                                  <w:marRight w:val="0"/>
                                                  <w:marTop w:val="0"/>
                                                  <w:marBottom w:val="0"/>
                                                  <w:divBdr>
                                                    <w:top w:val="none" w:sz="0" w:space="0" w:color="auto"/>
                                                    <w:left w:val="none" w:sz="0" w:space="0" w:color="auto"/>
                                                    <w:bottom w:val="none" w:sz="0" w:space="0" w:color="auto"/>
                                                    <w:right w:val="none" w:sz="0" w:space="0" w:color="auto"/>
                                                  </w:divBdr>
                                                </w:div>
                                              </w:divsChild>
                                            </w:div>
                                            <w:div w:id="198513902">
                                              <w:marLeft w:val="0"/>
                                              <w:marRight w:val="0"/>
                                              <w:marTop w:val="0"/>
                                              <w:marBottom w:val="0"/>
                                              <w:divBdr>
                                                <w:top w:val="single" w:sz="6" w:space="0" w:color="CCCCCC"/>
                                                <w:left w:val="none" w:sz="0" w:space="0" w:color="auto"/>
                                                <w:bottom w:val="none" w:sz="0" w:space="0" w:color="auto"/>
                                                <w:right w:val="none" w:sz="0" w:space="0" w:color="auto"/>
                                              </w:divBdr>
                                              <w:divsChild>
                                                <w:div w:id="1197156855">
                                                  <w:marLeft w:val="0"/>
                                                  <w:marRight w:val="0"/>
                                                  <w:marTop w:val="0"/>
                                                  <w:marBottom w:val="0"/>
                                                  <w:divBdr>
                                                    <w:top w:val="none" w:sz="0" w:space="0" w:color="auto"/>
                                                    <w:left w:val="none" w:sz="0" w:space="0" w:color="auto"/>
                                                    <w:bottom w:val="none" w:sz="0" w:space="0" w:color="auto"/>
                                                    <w:right w:val="none" w:sz="0" w:space="0" w:color="auto"/>
                                                  </w:divBdr>
                                                </w:div>
                                              </w:divsChild>
                                            </w:div>
                                            <w:div w:id="2143032066">
                                              <w:marLeft w:val="0"/>
                                              <w:marRight w:val="0"/>
                                              <w:marTop w:val="0"/>
                                              <w:marBottom w:val="0"/>
                                              <w:divBdr>
                                                <w:top w:val="single" w:sz="6" w:space="0" w:color="CCCCCC"/>
                                                <w:left w:val="none" w:sz="0" w:space="0" w:color="auto"/>
                                                <w:bottom w:val="none" w:sz="0" w:space="0" w:color="auto"/>
                                                <w:right w:val="none" w:sz="0" w:space="0" w:color="auto"/>
                                              </w:divBdr>
                                              <w:divsChild>
                                                <w:div w:id="779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493144">
                          <w:marLeft w:val="0"/>
                          <w:marRight w:val="0"/>
                          <w:marTop w:val="0"/>
                          <w:marBottom w:val="0"/>
                          <w:divBdr>
                            <w:top w:val="none" w:sz="0" w:space="0" w:color="auto"/>
                            <w:left w:val="none" w:sz="0" w:space="0" w:color="auto"/>
                            <w:bottom w:val="none" w:sz="0" w:space="0" w:color="auto"/>
                            <w:right w:val="none" w:sz="0" w:space="0" w:color="auto"/>
                          </w:divBdr>
                          <w:divsChild>
                            <w:div w:id="776943474">
                              <w:marLeft w:val="0"/>
                              <w:marRight w:val="0"/>
                              <w:marTop w:val="960"/>
                              <w:marBottom w:val="0"/>
                              <w:divBdr>
                                <w:top w:val="none" w:sz="0" w:space="0" w:color="auto"/>
                                <w:left w:val="none" w:sz="0" w:space="0" w:color="auto"/>
                                <w:bottom w:val="none" w:sz="0" w:space="0" w:color="auto"/>
                                <w:right w:val="none" w:sz="0" w:space="0" w:color="auto"/>
                              </w:divBdr>
                              <w:divsChild>
                                <w:div w:id="2109619415">
                                  <w:marLeft w:val="0"/>
                                  <w:marRight w:val="0"/>
                                  <w:marTop w:val="0"/>
                                  <w:marBottom w:val="240"/>
                                  <w:divBdr>
                                    <w:top w:val="single" w:sz="6" w:space="0" w:color="CCCCCC"/>
                                    <w:left w:val="single" w:sz="6" w:space="0" w:color="CCCCCC"/>
                                    <w:bottom w:val="single" w:sz="6" w:space="0" w:color="CCCCCC"/>
                                    <w:right w:val="single" w:sz="6" w:space="0" w:color="CCCCCC"/>
                                  </w:divBdr>
                                  <w:divsChild>
                                    <w:div w:id="923687061">
                                      <w:marLeft w:val="0"/>
                                      <w:marRight w:val="0"/>
                                      <w:marTop w:val="0"/>
                                      <w:marBottom w:val="0"/>
                                      <w:divBdr>
                                        <w:top w:val="none" w:sz="0" w:space="0" w:color="auto"/>
                                        <w:left w:val="none" w:sz="0" w:space="0" w:color="auto"/>
                                        <w:bottom w:val="none" w:sz="0" w:space="0" w:color="auto"/>
                                        <w:right w:val="none" w:sz="0" w:space="0" w:color="auto"/>
                                      </w:divBdr>
                                      <w:divsChild>
                                        <w:div w:id="106680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863352">
                          <w:marLeft w:val="0"/>
                          <w:marRight w:val="0"/>
                          <w:marTop w:val="0"/>
                          <w:marBottom w:val="0"/>
                          <w:divBdr>
                            <w:top w:val="none" w:sz="0" w:space="0" w:color="auto"/>
                            <w:left w:val="none" w:sz="0" w:space="0" w:color="auto"/>
                            <w:bottom w:val="none" w:sz="0" w:space="0" w:color="auto"/>
                            <w:right w:val="none" w:sz="0" w:space="0" w:color="auto"/>
                          </w:divBdr>
                          <w:divsChild>
                            <w:div w:id="1914974595">
                              <w:marLeft w:val="0"/>
                              <w:marRight w:val="0"/>
                              <w:marTop w:val="0"/>
                              <w:marBottom w:val="0"/>
                              <w:divBdr>
                                <w:top w:val="none" w:sz="0" w:space="0" w:color="auto"/>
                                <w:left w:val="none" w:sz="0" w:space="0" w:color="auto"/>
                                <w:bottom w:val="none" w:sz="0" w:space="0" w:color="auto"/>
                                <w:right w:val="none" w:sz="0" w:space="0" w:color="auto"/>
                              </w:divBdr>
                              <w:divsChild>
                                <w:div w:id="802230613">
                                  <w:marLeft w:val="0"/>
                                  <w:marRight w:val="0"/>
                                  <w:marTop w:val="0"/>
                                  <w:marBottom w:val="0"/>
                                  <w:divBdr>
                                    <w:top w:val="none" w:sz="0" w:space="0" w:color="auto"/>
                                    <w:left w:val="none" w:sz="0" w:space="0" w:color="auto"/>
                                    <w:bottom w:val="none" w:sz="0" w:space="0" w:color="auto"/>
                                    <w:right w:val="none" w:sz="0" w:space="0" w:color="auto"/>
                                  </w:divBdr>
                                </w:div>
                              </w:divsChild>
                            </w:div>
                            <w:div w:id="1354843667">
                              <w:marLeft w:val="0"/>
                              <w:marRight w:val="0"/>
                              <w:marTop w:val="600"/>
                              <w:marBottom w:val="480"/>
                              <w:divBdr>
                                <w:top w:val="none" w:sz="0" w:space="0" w:color="auto"/>
                                <w:left w:val="none" w:sz="0" w:space="0" w:color="auto"/>
                                <w:bottom w:val="none" w:sz="0" w:space="0" w:color="auto"/>
                                <w:right w:val="none" w:sz="0" w:space="0" w:color="auto"/>
                              </w:divBdr>
                              <w:divsChild>
                                <w:div w:id="684523665">
                                  <w:marLeft w:val="0"/>
                                  <w:marRight w:val="0"/>
                                  <w:marTop w:val="0"/>
                                  <w:marBottom w:val="0"/>
                                  <w:divBdr>
                                    <w:top w:val="none" w:sz="0" w:space="0" w:color="auto"/>
                                    <w:left w:val="none" w:sz="0" w:space="0" w:color="auto"/>
                                    <w:bottom w:val="none" w:sz="0" w:space="0" w:color="auto"/>
                                    <w:right w:val="none" w:sz="0" w:space="0" w:color="auto"/>
                                  </w:divBdr>
                                  <w:divsChild>
                                    <w:div w:id="63491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433286">
                  <w:marLeft w:val="0"/>
                  <w:marRight w:val="0"/>
                  <w:marTop w:val="0"/>
                  <w:marBottom w:val="0"/>
                  <w:divBdr>
                    <w:top w:val="none" w:sz="0" w:space="0" w:color="auto"/>
                    <w:left w:val="none" w:sz="0" w:space="0" w:color="auto"/>
                    <w:bottom w:val="none" w:sz="0" w:space="0" w:color="auto"/>
                    <w:right w:val="none" w:sz="0" w:space="0" w:color="auto"/>
                  </w:divBdr>
                  <w:divsChild>
                    <w:div w:id="1876843422">
                      <w:marLeft w:val="0"/>
                      <w:marRight w:val="0"/>
                      <w:marTop w:val="0"/>
                      <w:marBottom w:val="0"/>
                      <w:divBdr>
                        <w:top w:val="none" w:sz="0" w:space="0" w:color="auto"/>
                        <w:left w:val="none" w:sz="0" w:space="0" w:color="auto"/>
                        <w:bottom w:val="none" w:sz="0" w:space="0" w:color="auto"/>
                        <w:right w:val="none" w:sz="0" w:space="0" w:color="auto"/>
                      </w:divBdr>
                      <w:divsChild>
                        <w:div w:id="185098219">
                          <w:marLeft w:val="0"/>
                          <w:marRight w:val="0"/>
                          <w:marTop w:val="0"/>
                          <w:marBottom w:val="0"/>
                          <w:divBdr>
                            <w:top w:val="none" w:sz="0" w:space="0" w:color="auto"/>
                            <w:left w:val="none" w:sz="0" w:space="0" w:color="auto"/>
                            <w:bottom w:val="none" w:sz="0" w:space="0" w:color="auto"/>
                            <w:right w:val="none" w:sz="0" w:space="0" w:color="auto"/>
                          </w:divBdr>
                          <w:divsChild>
                            <w:div w:id="1161776290">
                              <w:marLeft w:val="0"/>
                              <w:marRight w:val="0"/>
                              <w:marTop w:val="0"/>
                              <w:marBottom w:val="0"/>
                              <w:divBdr>
                                <w:top w:val="none" w:sz="0" w:space="0" w:color="auto"/>
                                <w:left w:val="none" w:sz="0" w:space="0" w:color="auto"/>
                                <w:bottom w:val="none" w:sz="0" w:space="0" w:color="auto"/>
                                <w:right w:val="none" w:sz="0" w:space="0" w:color="auto"/>
                              </w:divBdr>
                              <w:divsChild>
                                <w:div w:id="1073968292">
                                  <w:marLeft w:val="0"/>
                                  <w:marRight w:val="0"/>
                                  <w:marTop w:val="0"/>
                                  <w:marBottom w:val="0"/>
                                  <w:divBdr>
                                    <w:top w:val="none" w:sz="0" w:space="0" w:color="auto"/>
                                    <w:left w:val="none" w:sz="0" w:space="0" w:color="auto"/>
                                    <w:bottom w:val="none" w:sz="0" w:space="0" w:color="auto"/>
                                    <w:right w:val="none" w:sz="0" w:space="0" w:color="auto"/>
                                  </w:divBdr>
                                </w:div>
                                <w:div w:id="38773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037184">
                      <w:marLeft w:val="0"/>
                      <w:marRight w:val="0"/>
                      <w:marTop w:val="0"/>
                      <w:marBottom w:val="0"/>
                      <w:divBdr>
                        <w:top w:val="none" w:sz="0" w:space="0" w:color="auto"/>
                        <w:left w:val="none" w:sz="0" w:space="0" w:color="auto"/>
                        <w:bottom w:val="none" w:sz="0" w:space="0" w:color="auto"/>
                        <w:right w:val="none" w:sz="0" w:space="0" w:color="auto"/>
                      </w:divBdr>
                      <w:divsChild>
                        <w:div w:id="131295704">
                          <w:marLeft w:val="0"/>
                          <w:marRight w:val="0"/>
                          <w:marTop w:val="0"/>
                          <w:marBottom w:val="0"/>
                          <w:divBdr>
                            <w:top w:val="none" w:sz="0" w:space="0" w:color="auto"/>
                            <w:left w:val="none" w:sz="0" w:space="0" w:color="auto"/>
                            <w:bottom w:val="none" w:sz="0" w:space="0" w:color="auto"/>
                            <w:right w:val="none" w:sz="0" w:space="0" w:color="auto"/>
                          </w:divBdr>
                          <w:divsChild>
                            <w:div w:id="1810512800">
                              <w:marLeft w:val="0"/>
                              <w:marRight w:val="0"/>
                              <w:marTop w:val="0"/>
                              <w:marBottom w:val="0"/>
                              <w:divBdr>
                                <w:top w:val="none" w:sz="0" w:space="0" w:color="auto"/>
                                <w:left w:val="none" w:sz="0" w:space="0" w:color="auto"/>
                                <w:bottom w:val="none" w:sz="0" w:space="0" w:color="auto"/>
                                <w:right w:val="none" w:sz="0" w:space="0" w:color="auto"/>
                              </w:divBdr>
                            </w:div>
                            <w:div w:id="1057900432">
                              <w:marLeft w:val="0"/>
                              <w:marRight w:val="0"/>
                              <w:marTop w:val="0"/>
                              <w:marBottom w:val="0"/>
                              <w:divBdr>
                                <w:top w:val="none" w:sz="0" w:space="0" w:color="auto"/>
                                <w:left w:val="none" w:sz="0" w:space="0" w:color="auto"/>
                                <w:bottom w:val="none" w:sz="0" w:space="0" w:color="auto"/>
                                <w:right w:val="none" w:sz="0" w:space="0" w:color="auto"/>
                              </w:divBdr>
                            </w:div>
                          </w:divsChild>
                        </w:div>
                        <w:div w:id="190806968">
                          <w:marLeft w:val="0"/>
                          <w:marRight w:val="0"/>
                          <w:marTop w:val="0"/>
                          <w:marBottom w:val="0"/>
                          <w:divBdr>
                            <w:top w:val="none" w:sz="0" w:space="0" w:color="auto"/>
                            <w:left w:val="none" w:sz="0" w:space="0" w:color="auto"/>
                            <w:bottom w:val="none" w:sz="0" w:space="0" w:color="auto"/>
                            <w:right w:val="none" w:sz="0" w:space="0" w:color="auto"/>
                          </w:divBdr>
                          <w:divsChild>
                            <w:div w:id="11152738">
                              <w:marLeft w:val="0"/>
                              <w:marRight w:val="0"/>
                              <w:marTop w:val="0"/>
                              <w:marBottom w:val="0"/>
                              <w:divBdr>
                                <w:top w:val="none" w:sz="0" w:space="0" w:color="auto"/>
                                <w:left w:val="none" w:sz="0" w:space="0" w:color="auto"/>
                                <w:bottom w:val="none" w:sz="0" w:space="0" w:color="auto"/>
                                <w:right w:val="none" w:sz="0" w:space="0" w:color="auto"/>
                              </w:divBdr>
                              <w:divsChild>
                                <w:div w:id="777142711">
                                  <w:marLeft w:val="0"/>
                                  <w:marRight w:val="0"/>
                                  <w:marTop w:val="0"/>
                                  <w:marBottom w:val="0"/>
                                  <w:divBdr>
                                    <w:top w:val="none" w:sz="0" w:space="0" w:color="auto"/>
                                    <w:left w:val="none" w:sz="0" w:space="0" w:color="auto"/>
                                    <w:bottom w:val="none" w:sz="0" w:space="0" w:color="auto"/>
                                    <w:right w:val="none" w:sz="0" w:space="0" w:color="auto"/>
                                  </w:divBdr>
                                </w:div>
                                <w:div w:id="15904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68992">
                          <w:marLeft w:val="0"/>
                          <w:marRight w:val="0"/>
                          <w:marTop w:val="0"/>
                          <w:marBottom w:val="0"/>
                          <w:divBdr>
                            <w:top w:val="none" w:sz="0" w:space="0" w:color="auto"/>
                            <w:left w:val="none" w:sz="0" w:space="0" w:color="auto"/>
                            <w:bottom w:val="none" w:sz="0" w:space="0" w:color="auto"/>
                            <w:right w:val="none" w:sz="0" w:space="0" w:color="auto"/>
                          </w:divBdr>
                          <w:divsChild>
                            <w:div w:id="6123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971399">
      <w:bodyDiv w:val="1"/>
      <w:marLeft w:val="0"/>
      <w:marRight w:val="0"/>
      <w:marTop w:val="0"/>
      <w:marBottom w:val="0"/>
      <w:divBdr>
        <w:top w:val="none" w:sz="0" w:space="0" w:color="auto"/>
        <w:left w:val="none" w:sz="0" w:space="0" w:color="auto"/>
        <w:bottom w:val="none" w:sz="0" w:space="0" w:color="auto"/>
        <w:right w:val="none" w:sz="0" w:space="0" w:color="auto"/>
      </w:divBdr>
    </w:div>
    <w:div w:id="156502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s-grandest-dt08-posa@ars.sante.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rs-grandest-da-parcours-pa@ars.sante.fr" TargetMode="External"/><Relationship Id="rId4" Type="http://schemas.openxmlformats.org/officeDocument/2006/relationships/settings" Target="settings.xml"/><Relationship Id="rId9" Type="http://schemas.openxmlformats.org/officeDocument/2006/relationships/hyperlink" Target="https://www.grand-est.ars.sante.fr/liste-appels-projet-candidatur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A5D91-851D-4CC0-926B-AE21A62A4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2687</Words>
  <Characters>14781</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17434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JOLLY, Françoise (ARS-GRANDEST)</cp:lastModifiedBy>
  <cp:revision>16</cp:revision>
  <cp:lastPrinted>2022-05-23T12:00:00Z</cp:lastPrinted>
  <dcterms:created xsi:type="dcterms:W3CDTF">2023-08-29T13:55:00Z</dcterms:created>
  <dcterms:modified xsi:type="dcterms:W3CDTF">2023-08-30T14:14:00Z</dcterms:modified>
</cp:coreProperties>
</file>