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7F2D" w:rsidRPr="00646009" w:rsidRDefault="00164E3F" w:rsidP="007A6CA7">
      <w:pPr>
        <w:spacing w:after="0"/>
        <w:jc w:val="both"/>
      </w:pPr>
      <w:r w:rsidRPr="00646009">
        <w:rPr>
          <w:noProof/>
        </w:rPr>
        <w:drawing>
          <wp:inline distT="0" distB="0" distL="0" distR="0" wp14:anchorId="6E7A8805" wp14:editId="6DC12552">
            <wp:extent cx="1638300" cy="969258"/>
            <wp:effectExtent l="0" t="0" r="0" b="2540"/>
            <wp:docPr id="1" name="Image 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rotWithShape="1">
                    <a:blip r:embed="rId9">
                      <a:extLst>
                        <a:ext uri="{28A0092B-C50C-407E-A947-70E740481C1C}">
                          <a14:useLocalDpi xmlns:a14="http://schemas.microsoft.com/office/drawing/2010/main" val="0"/>
                        </a:ext>
                      </a:extLst>
                    </a:blip>
                    <a:srcRect l="9929" t="13587"/>
                    <a:stretch/>
                  </pic:blipFill>
                  <pic:spPr bwMode="auto">
                    <a:xfrm>
                      <a:off x="0" y="0"/>
                      <a:ext cx="1647212" cy="974531"/>
                    </a:xfrm>
                    <a:prstGeom prst="rect">
                      <a:avLst/>
                    </a:prstGeom>
                    <a:noFill/>
                    <a:ln>
                      <a:noFill/>
                    </a:ln>
                    <a:extLst>
                      <a:ext uri="{53640926-AAD7-44D8-BBD7-CCE9431645EC}">
                        <a14:shadowObscured xmlns:a14="http://schemas.microsoft.com/office/drawing/2010/main"/>
                      </a:ext>
                    </a:extLst>
                  </pic:spPr>
                </pic:pic>
              </a:graphicData>
            </a:graphic>
          </wp:inline>
        </w:drawing>
      </w:r>
      <w:r w:rsidR="007A6CA7" w:rsidRPr="007A6CA7">
        <w:t xml:space="preserve"> </w:t>
      </w:r>
      <w:r w:rsidR="007A6CA7">
        <w:tab/>
      </w:r>
      <w:r w:rsidR="007A6CA7">
        <w:tab/>
      </w:r>
      <w:r w:rsidR="007A6CA7">
        <w:tab/>
      </w:r>
      <w:r w:rsidR="007A6CA7">
        <w:tab/>
      </w:r>
      <w:r w:rsidR="007A6CA7">
        <w:tab/>
      </w:r>
      <w:r w:rsidR="007A6CA7">
        <w:tab/>
      </w:r>
      <w:r w:rsidR="007A6CA7">
        <w:tab/>
        <w:t>LOGO Gestionnaire</w:t>
      </w:r>
    </w:p>
    <w:p w:rsidR="000D7F2D" w:rsidRDefault="00C5366B" w:rsidP="006315FB">
      <w:pPr>
        <w:tabs>
          <w:tab w:val="left" w:pos="2595"/>
        </w:tabs>
        <w:jc w:val="both"/>
      </w:pPr>
      <w:r w:rsidRPr="00646009">
        <w:t>Secteur Personnes</w:t>
      </w:r>
      <w:r w:rsidR="00802D4A" w:rsidRPr="00646009">
        <w:t xml:space="preserve"> en situation de</w:t>
      </w:r>
      <w:r w:rsidR="004744D5" w:rsidRPr="00646009">
        <w:t xml:space="preserve"> </w:t>
      </w:r>
      <w:r w:rsidR="00802D4A" w:rsidRPr="00646009">
        <w:t>Handicap</w:t>
      </w:r>
    </w:p>
    <w:p w:rsidR="001F11B5" w:rsidRDefault="001F11B5" w:rsidP="006315FB">
      <w:pPr>
        <w:tabs>
          <w:tab w:val="left" w:pos="2595"/>
        </w:tabs>
        <w:jc w:val="both"/>
      </w:pPr>
    </w:p>
    <w:p w:rsidR="00646009" w:rsidRPr="00646009" w:rsidRDefault="00646009" w:rsidP="006315FB">
      <w:pPr>
        <w:tabs>
          <w:tab w:val="left" w:pos="2595"/>
        </w:tabs>
        <w:jc w:val="both"/>
      </w:pPr>
    </w:p>
    <w:p w:rsidR="000D7F2D" w:rsidRPr="006315FB" w:rsidRDefault="008017A3" w:rsidP="006315FB">
      <w:pPr>
        <w:pBdr>
          <w:top w:val="single" w:sz="4" w:space="1" w:color="auto"/>
          <w:left w:val="single" w:sz="4" w:space="4" w:color="auto"/>
          <w:bottom w:val="single" w:sz="4" w:space="1" w:color="auto"/>
          <w:right w:val="single" w:sz="4" w:space="4" w:color="auto"/>
        </w:pBdr>
        <w:tabs>
          <w:tab w:val="left" w:pos="2595"/>
        </w:tabs>
        <w:jc w:val="center"/>
        <w:rPr>
          <w:b/>
          <w:sz w:val="24"/>
          <w:szCs w:val="24"/>
        </w:rPr>
      </w:pPr>
      <w:r w:rsidRPr="006315FB">
        <w:rPr>
          <w:b/>
          <w:sz w:val="24"/>
          <w:szCs w:val="24"/>
        </w:rPr>
        <w:t>CONTRAT PLURIANNUEL D’OBJECTIFS ET DE MOYENS</w:t>
      </w:r>
    </w:p>
    <w:p w:rsidR="008017A3" w:rsidRPr="006315FB" w:rsidRDefault="008017A3" w:rsidP="006315FB">
      <w:pPr>
        <w:pBdr>
          <w:top w:val="single" w:sz="4" w:space="1" w:color="auto"/>
          <w:left w:val="single" w:sz="4" w:space="4" w:color="auto"/>
          <w:bottom w:val="single" w:sz="4" w:space="1" w:color="auto"/>
          <w:right w:val="single" w:sz="4" w:space="4" w:color="auto"/>
        </w:pBdr>
        <w:tabs>
          <w:tab w:val="left" w:pos="2595"/>
        </w:tabs>
        <w:jc w:val="center"/>
        <w:rPr>
          <w:b/>
          <w:i/>
          <w:sz w:val="24"/>
          <w:szCs w:val="24"/>
        </w:rPr>
      </w:pPr>
      <w:r w:rsidRPr="006315FB">
        <w:rPr>
          <w:b/>
          <w:i/>
          <w:sz w:val="24"/>
          <w:szCs w:val="24"/>
        </w:rPr>
        <w:t>Dates du contrat</w:t>
      </w:r>
    </w:p>
    <w:p w:rsidR="006315FB" w:rsidRPr="006315FB" w:rsidRDefault="006315FB" w:rsidP="006315FB">
      <w:pPr>
        <w:tabs>
          <w:tab w:val="left" w:pos="2595"/>
        </w:tabs>
        <w:jc w:val="center"/>
        <w:rPr>
          <w:b/>
        </w:rPr>
      </w:pPr>
      <w:r w:rsidRPr="006315FB">
        <w:rPr>
          <w:b/>
        </w:rPr>
        <w:t xml:space="preserve">Etablissements </w:t>
      </w:r>
      <w:r w:rsidR="00440B4A">
        <w:rPr>
          <w:b/>
        </w:rPr>
        <w:t xml:space="preserve">et services </w:t>
      </w:r>
      <w:r w:rsidR="00CC3089">
        <w:rPr>
          <w:b/>
        </w:rPr>
        <w:t xml:space="preserve">médico-sociaux </w:t>
      </w:r>
      <w:r w:rsidR="00CC3089">
        <w:rPr>
          <w:b/>
        </w:rPr>
        <w:br/>
      </w:r>
      <w:r w:rsidR="00440B4A">
        <w:rPr>
          <w:b/>
        </w:rPr>
        <w:t>à compétence exclusive</w:t>
      </w:r>
      <w:r w:rsidR="00CC3089">
        <w:rPr>
          <w:b/>
        </w:rPr>
        <w:t xml:space="preserve"> de l’</w:t>
      </w:r>
      <w:r w:rsidRPr="006315FB">
        <w:rPr>
          <w:b/>
        </w:rPr>
        <w:t>Agence Régionale de Santé</w:t>
      </w:r>
    </w:p>
    <w:p w:rsidR="0001390E" w:rsidRPr="006315FB" w:rsidRDefault="0001390E" w:rsidP="006315FB">
      <w:pPr>
        <w:tabs>
          <w:tab w:val="left" w:pos="2595"/>
        </w:tabs>
        <w:jc w:val="center"/>
        <w:rPr>
          <w:b/>
        </w:rPr>
      </w:pPr>
    </w:p>
    <w:p w:rsidR="0001390E" w:rsidRPr="006315FB" w:rsidRDefault="008017A3" w:rsidP="006315FB">
      <w:pPr>
        <w:tabs>
          <w:tab w:val="left" w:pos="2595"/>
        </w:tabs>
        <w:jc w:val="center"/>
        <w:rPr>
          <w:b/>
        </w:rPr>
      </w:pPr>
      <w:r w:rsidRPr="006315FB">
        <w:rPr>
          <w:b/>
        </w:rPr>
        <w:t>ENTRE</w:t>
      </w:r>
    </w:p>
    <w:p w:rsidR="003B5939" w:rsidRPr="006315FB" w:rsidRDefault="003B5939" w:rsidP="006315FB">
      <w:pPr>
        <w:tabs>
          <w:tab w:val="left" w:pos="2595"/>
        </w:tabs>
        <w:jc w:val="center"/>
      </w:pPr>
    </w:p>
    <w:p w:rsidR="008017A3" w:rsidRPr="006315FB" w:rsidRDefault="00F26627" w:rsidP="006315FB">
      <w:pPr>
        <w:tabs>
          <w:tab w:val="left" w:pos="2595"/>
        </w:tabs>
        <w:jc w:val="center"/>
        <w:rPr>
          <w:i/>
        </w:rPr>
      </w:pPr>
      <w:bookmarkStart w:id="0" w:name="Nom_du_gestionnaire"/>
      <w:r w:rsidRPr="006315FB">
        <w:rPr>
          <w:i/>
        </w:rPr>
        <w:t>Nom du gestionnaire</w:t>
      </w:r>
      <w:bookmarkEnd w:id="0"/>
    </w:p>
    <w:p w:rsidR="008017A3" w:rsidRPr="006315FB" w:rsidRDefault="008017A3" w:rsidP="006315FB">
      <w:pPr>
        <w:tabs>
          <w:tab w:val="left" w:pos="2595"/>
        </w:tabs>
        <w:jc w:val="center"/>
        <w:rPr>
          <w:i/>
        </w:rPr>
      </w:pPr>
      <w:r w:rsidRPr="006315FB">
        <w:rPr>
          <w:i/>
        </w:rPr>
        <w:t>Adresse</w:t>
      </w:r>
    </w:p>
    <w:p w:rsidR="008017A3" w:rsidRPr="006315FB" w:rsidRDefault="008017A3" w:rsidP="006315FB">
      <w:pPr>
        <w:tabs>
          <w:tab w:val="left" w:pos="2595"/>
        </w:tabs>
        <w:jc w:val="center"/>
        <w:rPr>
          <w:i/>
        </w:rPr>
      </w:pPr>
      <w:r w:rsidRPr="006315FB">
        <w:rPr>
          <w:i/>
        </w:rPr>
        <w:t>Numéro Finess de l’entité juridique</w:t>
      </w:r>
    </w:p>
    <w:p w:rsidR="008017A3" w:rsidRPr="006315FB" w:rsidRDefault="008017A3" w:rsidP="006315FB">
      <w:pPr>
        <w:tabs>
          <w:tab w:val="left" w:pos="2595"/>
        </w:tabs>
        <w:jc w:val="center"/>
        <w:rPr>
          <w:i/>
        </w:rPr>
      </w:pPr>
    </w:p>
    <w:p w:rsidR="008017A3" w:rsidRPr="006315FB" w:rsidRDefault="008017A3" w:rsidP="006315FB">
      <w:pPr>
        <w:tabs>
          <w:tab w:val="left" w:pos="2595"/>
        </w:tabs>
        <w:jc w:val="center"/>
        <w:rPr>
          <w:b/>
        </w:rPr>
      </w:pPr>
      <w:r w:rsidRPr="006315FB">
        <w:rPr>
          <w:b/>
        </w:rPr>
        <w:t>ET</w:t>
      </w:r>
    </w:p>
    <w:p w:rsidR="008017A3" w:rsidRPr="006315FB" w:rsidRDefault="008017A3" w:rsidP="006315FB">
      <w:pPr>
        <w:tabs>
          <w:tab w:val="left" w:pos="2595"/>
        </w:tabs>
        <w:jc w:val="center"/>
        <w:rPr>
          <w:b/>
        </w:rPr>
      </w:pPr>
    </w:p>
    <w:p w:rsidR="008017A3" w:rsidRPr="006315FB" w:rsidRDefault="008017A3" w:rsidP="006315FB">
      <w:pPr>
        <w:tabs>
          <w:tab w:val="left" w:pos="2595"/>
        </w:tabs>
        <w:jc w:val="center"/>
        <w:rPr>
          <w:b/>
        </w:rPr>
      </w:pPr>
      <w:r w:rsidRPr="006315FB">
        <w:rPr>
          <w:b/>
        </w:rPr>
        <w:t xml:space="preserve">L’Agence Régionale de </w:t>
      </w:r>
      <w:r w:rsidR="00A960D0" w:rsidRPr="006315FB">
        <w:rPr>
          <w:b/>
        </w:rPr>
        <w:t>Santé (ARS) Grand Est</w:t>
      </w:r>
    </w:p>
    <w:p w:rsidR="007A410E" w:rsidRPr="006315FB" w:rsidRDefault="002D09D9" w:rsidP="006315FB">
      <w:pPr>
        <w:tabs>
          <w:tab w:val="left" w:pos="2595"/>
        </w:tabs>
        <w:jc w:val="center"/>
        <w:rPr>
          <w:b/>
        </w:rPr>
      </w:pPr>
      <w:r w:rsidRPr="006315FB">
        <w:rPr>
          <w:b/>
        </w:rPr>
        <w:t>3, boulevard Joffre</w:t>
      </w:r>
      <w:r w:rsidR="00E172D3" w:rsidRPr="006315FB">
        <w:rPr>
          <w:b/>
        </w:rPr>
        <w:t>, 54000 NANCY</w:t>
      </w:r>
    </w:p>
    <w:p w:rsidR="00261B28" w:rsidRDefault="007A410E" w:rsidP="006315FB">
      <w:pPr>
        <w:tabs>
          <w:tab w:val="left" w:pos="2595"/>
        </w:tabs>
        <w:jc w:val="center"/>
        <w:rPr>
          <w:b/>
        </w:rPr>
        <w:sectPr w:rsidR="00261B28" w:rsidSect="00F26627">
          <w:footerReference w:type="default" r:id="rId10"/>
          <w:pgSz w:w="11906" w:h="16838"/>
          <w:pgMar w:top="1417" w:right="1417" w:bottom="1417" w:left="1417" w:header="708" w:footer="567" w:gutter="0"/>
          <w:cols w:space="708"/>
          <w:titlePg/>
          <w:docGrid w:linePitch="360"/>
        </w:sectPr>
      </w:pPr>
      <w:r w:rsidRPr="006315FB">
        <w:rPr>
          <w:b/>
        </w:rPr>
        <w:t>Représenté par son Directeur Gén</w:t>
      </w:r>
      <w:r w:rsidR="00A960D0" w:rsidRPr="006315FB">
        <w:rPr>
          <w:b/>
        </w:rPr>
        <w:t>éral,</w:t>
      </w:r>
      <w:r w:rsidR="004744D5" w:rsidRPr="006315FB">
        <w:rPr>
          <w:b/>
        </w:rPr>
        <w:t xml:space="preserve"> </w:t>
      </w:r>
      <w:r w:rsidR="00C5366B" w:rsidRPr="006315FB">
        <w:rPr>
          <w:b/>
        </w:rPr>
        <w:t>M.</w:t>
      </w:r>
      <w:r w:rsidR="006315FB" w:rsidRPr="006315FB">
        <w:rPr>
          <w:b/>
        </w:rPr>
        <w:t xml:space="preserve"> </w:t>
      </w:r>
      <w:r w:rsidR="006315FB" w:rsidRPr="00C02C2C">
        <w:rPr>
          <w:b/>
        </w:rPr>
        <w:t>Christophe LANNELONGUE</w:t>
      </w:r>
    </w:p>
    <w:sdt>
      <w:sdtPr>
        <w:rPr>
          <w:rFonts w:asciiTheme="minorHAnsi" w:eastAsiaTheme="minorEastAsia" w:hAnsiTheme="minorHAnsi" w:cstheme="minorBidi"/>
          <w:b w:val="0"/>
          <w:bCs w:val="0"/>
          <w:color w:val="auto"/>
          <w:sz w:val="22"/>
          <w:szCs w:val="22"/>
        </w:rPr>
        <w:id w:val="-2029322230"/>
        <w:docPartObj>
          <w:docPartGallery w:val="Table of Contents"/>
          <w:docPartUnique/>
        </w:docPartObj>
      </w:sdtPr>
      <w:sdtEndPr/>
      <w:sdtContent>
        <w:p w:rsidR="003B3AED" w:rsidRDefault="003B3AED">
          <w:pPr>
            <w:pStyle w:val="En-ttedetabledesmatires"/>
          </w:pPr>
          <w:r>
            <w:t>Table des matières</w:t>
          </w:r>
        </w:p>
        <w:p w:rsidR="003B3AED" w:rsidRPr="003B3AED" w:rsidRDefault="003B3AED" w:rsidP="003B3AED"/>
        <w:p w:rsidR="009567AD" w:rsidRDefault="003B3AED">
          <w:pPr>
            <w:pStyle w:val="TM1"/>
            <w:tabs>
              <w:tab w:val="right" w:leader="dot" w:pos="9062"/>
            </w:tabs>
            <w:rPr>
              <w:noProof/>
            </w:rPr>
          </w:pPr>
          <w:r>
            <w:fldChar w:fldCharType="begin"/>
          </w:r>
          <w:r>
            <w:instrText xml:space="preserve"> TOC \o "1-3" \h \z \u </w:instrText>
          </w:r>
          <w:r>
            <w:fldChar w:fldCharType="separate"/>
          </w:r>
          <w:hyperlink w:anchor="_Toc494049533" w:history="1">
            <w:r w:rsidR="009567AD" w:rsidRPr="00EF7967">
              <w:rPr>
                <w:rStyle w:val="Lienhypertexte"/>
                <w:noProof/>
              </w:rPr>
              <w:t>ARTICLE 1 – OBJET DU CONTRAT</w:t>
            </w:r>
            <w:r w:rsidR="009567AD">
              <w:rPr>
                <w:noProof/>
                <w:webHidden/>
              </w:rPr>
              <w:tab/>
            </w:r>
            <w:r w:rsidR="009567AD">
              <w:rPr>
                <w:noProof/>
                <w:webHidden/>
              </w:rPr>
              <w:fldChar w:fldCharType="begin"/>
            </w:r>
            <w:r w:rsidR="009567AD">
              <w:rPr>
                <w:noProof/>
                <w:webHidden/>
              </w:rPr>
              <w:instrText xml:space="preserve"> PAGEREF _Toc494049533 \h </w:instrText>
            </w:r>
            <w:r w:rsidR="009567AD">
              <w:rPr>
                <w:noProof/>
                <w:webHidden/>
              </w:rPr>
            </w:r>
            <w:r w:rsidR="009567AD">
              <w:rPr>
                <w:noProof/>
                <w:webHidden/>
              </w:rPr>
              <w:fldChar w:fldCharType="separate"/>
            </w:r>
            <w:r w:rsidR="00696679">
              <w:rPr>
                <w:noProof/>
                <w:webHidden/>
              </w:rPr>
              <w:t>4</w:t>
            </w:r>
            <w:r w:rsidR="009567AD">
              <w:rPr>
                <w:noProof/>
                <w:webHidden/>
              </w:rPr>
              <w:fldChar w:fldCharType="end"/>
            </w:r>
          </w:hyperlink>
        </w:p>
        <w:p w:rsidR="009567AD" w:rsidRDefault="00C31ECE">
          <w:pPr>
            <w:pStyle w:val="TM1"/>
            <w:tabs>
              <w:tab w:val="right" w:leader="dot" w:pos="9062"/>
            </w:tabs>
            <w:rPr>
              <w:noProof/>
            </w:rPr>
          </w:pPr>
          <w:hyperlink w:anchor="_Toc494049534" w:history="1">
            <w:r w:rsidR="009567AD" w:rsidRPr="00EF7967">
              <w:rPr>
                <w:rStyle w:val="Lienhypertexte"/>
                <w:noProof/>
              </w:rPr>
              <w:t>ARTICLE 2 – PRESENTATION DU GESTIONNAIRE</w:t>
            </w:r>
            <w:r w:rsidR="009567AD">
              <w:rPr>
                <w:noProof/>
                <w:webHidden/>
              </w:rPr>
              <w:tab/>
            </w:r>
            <w:r w:rsidR="009567AD">
              <w:rPr>
                <w:noProof/>
                <w:webHidden/>
              </w:rPr>
              <w:fldChar w:fldCharType="begin"/>
            </w:r>
            <w:r w:rsidR="009567AD">
              <w:rPr>
                <w:noProof/>
                <w:webHidden/>
              </w:rPr>
              <w:instrText xml:space="preserve"> PAGEREF _Toc494049534 \h </w:instrText>
            </w:r>
            <w:r w:rsidR="009567AD">
              <w:rPr>
                <w:noProof/>
                <w:webHidden/>
              </w:rPr>
            </w:r>
            <w:r w:rsidR="009567AD">
              <w:rPr>
                <w:noProof/>
                <w:webHidden/>
              </w:rPr>
              <w:fldChar w:fldCharType="separate"/>
            </w:r>
            <w:r w:rsidR="00696679">
              <w:rPr>
                <w:noProof/>
                <w:webHidden/>
              </w:rPr>
              <w:t>7</w:t>
            </w:r>
            <w:r w:rsidR="009567AD">
              <w:rPr>
                <w:noProof/>
                <w:webHidden/>
              </w:rPr>
              <w:fldChar w:fldCharType="end"/>
            </w:r>
          </w:hyperlink>
        </w:p>
        <w:p w:rsidR="009567AD" w:rsidRDefault="00C31ECE">
          <w:pPr>
            <w:pStyle w:val="TM1"/>
            <w:tabs>
              <w:tab w:val="right" w:leader="dot" w:pos="9062"/>
            </w:tabs>
            <w:rPr>
              <w:noProof/>
            </w:rPr>
          </w:pPr>
          <w:hyperlink w:anchor="_Toc494049535" w:history="1">
            <w:r w:rsidR="009567AD" w:rsidRPr="00EF7967">
              <w:rPr>
                <w:rStyle w:val="Lienhypertexte"/>
                <w:noProof/>
              </w:rPr>
              <w:t>ARTICLE 3 – CHAMP COUVERT PAR LE CONTRAT</w:t>
            </w:r>
            <w:r w:rsidR="009567AD">
              <w:rPr>
                <w:noProof/>
                <w:webHidden/>
              </w:rPr>
              <w:tab/>
            </w:r>
            <w:r w:rsidR="009567AD">
              <w:rPr>
                <w:noProof/>
                <w:webHidden/>
              </w:rPr>
              <w:fldChar w:fldCharType="begin"/>
            </w:r>
            <w:r w:rsidR="009567AD">
              <w:rPr>
                <w:noProof/>
                <w:webHidden/>
              </w:rPr>
              <w:instrText xml:space="preserve"> PAGEREF _Toc494049535 \h </w:instrText>
            </w:r>
            <w:r w:rsidR="009567AD">
              <w:rPr>
                <w:noProof/>
                <w:webHidden/>
              </w:rPr>
            </w:r>
            <w:r w:rsidR="009567AD">
              <w:rPr>
                <w:noProof/>
                <w:webHidden/>
              </w:rPr>
              <w:fldChar w:fldCharType="separate"/>
            </w:r>
            <w:r w:rsidR="00696679">
              <w:rPr>
                <w:noProof/>
                <w:webHidden/>
              </w:rPr>
              <w:t>7</w:t>
            </w:r>
            <w:r w:rsidR="009567AD">
              <w:rPr>
                <w:noProof/>
                <w:webHidden/>
              </w:rPr>
              <w:fldChar w:fldCharType="end"/>
            </w:r>
          </w:hyperlink>
        </w:p>
        <w:p w:rsidR="009567AD" w:rsidRDefault="00C31ECE">
          <w:pPr>
            <w:pStyle w:val="TM1"/>
            <w:tabs>
              <w:tab w:val="right" w:leader="dot" w:pos="9062"/>
            </w:tabs>
            <w:rPr>
              <w:noProof/>
            </w:rPr>
          </w:pPr>
          <w:hyperlink w:anchor="_Toc494049536" w:history="1">
            <w:r w:rsidR="009567AD" w:rsidRPr="00EF7967">
              <w:rPr>
                <w:rStyle w:val="Lienhypertexte"/>
                <w:noProof/>
              </w:rPr>
              <w:t>ARTICLE 4 – DIAGNOSTIC PARTAGE</w:t>
            </w:r>
            <w:r w:rsidR="009567AD">
              <w:rPr>
                <w:noProof/>
                <w:webHidden/>
              </w:rPr>
              <w:tab/>
            </w:r>
            <w:r w:rsidR="009567AD">
              <w:rPr>
                <w:noProof/>
                <w:webHidden/>
              </w:rPr>
              <w:fldChar w:fldCharType="begin"/>
            </w:r>
            <w:r w:rsidR="009567AD">
              <w:rPr>
                <w:noProof/>
                <w:webHidden/>
              </w:rPr>
              <w:instrText xml:space="preserve"> PAGEREF _Toc494049536 \h </w:instrText>
            </w:r>
            <w:r w:rsidR="009567AD">
              <w:rPr>
                <w:noProof/>
                <w:webHidden/>
              </w:rPr>
            </w:r>
            <w:r w:rsidR="009567AD">
              <w:rPr>
                <w:noProof/>
                <w:webHidden/>
              </w:rPr>
              <w:fldChar w:fldCharType="separate"/>
            </w:r>
            <w:r w:rsidR="00696679">
              <w:rPr>
                <w:noProof/>
                <w:webHidden/>
              </w:rPr>
              <w:t>8</w:t>
            </w:r>
            <w:r w:rsidR="009567AD">
              <w:rPr>
                <w:noProof/>
                <w:webHidden/>
              </w:rPr>
              <w:fldChar w:fldCharType="end"/>
            </w:r>
          </w:hyperlink>
        </w:p>
        <w:p w:rsidR="009567AD" w:rsidRDefault="00C31ECE">
          <w:pPr>
            <w:pStyle w:val="TM1"/>
            <w:tabs>
              <w:tab w:val="right" w:leader="dot" w:pos="9062"/>
            </w:tabs>
            <w:rPr>
              <w:noProof/>
            </w:rPr>
          </w:pPr>
          <w:hyperlink w:anchor="_Toc494049537" w:history="1">
            <w:r w:rsidR="009567AD" w:rsidRPr="00EF7967">
              <w:rPr>
                <w:rStyle w:val="Lienhypertexte"/>
                <w:noProof/>
              </w:rPr>
              <w:t>ARTICLE 5 – OBJECTIFS OPERATIONNELS ET PLAN D’ACTIONS DU CPOM</w:t>
            </w:r>
            <w:r w:rsidR="009567AD">
              <w:rPr>
                <w:noProof/>
                <w:webHidden/>
              </w:rPr>
              <w:tab/>
            </w:r>
            <w:r w:rsidR="009567AD">
              <w:rPr>
                <w:noProof/>
                <w:webHidden/>
              </w:rPr>
              <w:fldChar w:fldCharType="begin"/>
            </w:r>
            <w:r w:rsidR="009567AD">
              <w:rPr>
                <w:noProof/>
                <w:webHidden/>
              </w:rPr>
              <w:instrText xml:space="preserve"> PAGEREF _Toc494049537 \h </w:instrText>
            </w:r>
            <w:r w:rsidR="009567AD">
              <w:rPr>
                <w:noProof/>
                <w:webHidden/>
              </w:rPr>
            </w:r>
            <w:r w:rsidR="009567AD">
              <w:rPr>
                <w:noProof/>
                <w:webHidden/>
              </w:rPr>
              <w:fldChar w:fldCharType="separate"/>
            </w:r>
            <w:r w:rsidR="00696679">
              <w:rPr>
                <w:noProof/>
                <w:webHidden/>
              </w:rPr>
              <w:t>9</w:t>
            </w:r>
            <w:r w:rsidR="009567AD">
              <w:rPr>
                <w:noProof/>
                <w:webHidden/>
              </w:rPr>
              <w:fldChar w:fldCharType="end"/>
            </w:r>
          </w:hyperlink>
        </w:p>
        <w:p w:rsidR="009567AD" w:rsidRDefault="00C31ECE">
          <w:pPr>
            <w:pStyle w:val="TM1"/>
            <w:tabs>
              <w:tab w:val="right" w:leader="dot" w:pos="9062"/>
            </w:tabs>
            <w:rPr>
              <w:noProof/>
            </w:rPr>
          </w:pPr>
          <w:hyperlink w:anchor="_Toc494049538" w:history="1">
            <w:r w:rsidR="009567AD" w:rsidRPr="00EF7967">
              <w:rPr>
                <w:rStyle w:val="Lienhypertexte"/>
                <w:noProof/>
              </w:rPr>
              <w:t>ARTICLE 6 – OBJECTIFS RELATIFS A L’ACTIVITE DES ESMS</w:t>
            </w:r>
            <w:r w:rsidR="009567AD">
              <w:rPr>
                <w:noProof/>
                <w:webHidden/>
              </w:rPr>
              <w:tab/>
            </w:r>
            <w:r w:rsidR="009567AD">
              <w:rPr>
                <w:noProof/>
                <w:webHidden/>
              </w:rPr>
              <w:fldChar w:fldCharType="begin"/>
            </w:r>
            <w:r w:rsidR="009567AD">
              <w:rPr>
                <w:noProof/>
                <w:webHidden/>
              </w:rPr>
              <w:instrText xml:space="preserve"> PAGEREF _Toc494049538 \h </w:instrText>
            </w:r>
            <w:r w:rsidR="009567AD">
              <w:rPr>
                <w:noProof/>
                <w:webHidden/>
              </w:rPr>
            </w:r>
            <w:r w:rsidR="009567AD">
              <w:rPr>
                <w:noProof/>
                <w:webHidden/>
              </w:rPr>
              <w:fldChar w:fldCharType="separate"/>
            </w:r>
            <w:r w:rsidR="00696679">
              <w:rPr>
                <w:noProof/>
                <w:webHidden/>
              </w:rPr>
              <w:t>9</w:t>
            </w:r>
            <w:r w:rsidR="009567AD">
              <w:rPr>
                <w:noProof/>
                <w:webHidden/>
              </w:rPr>
              <w:fldChar w:fldCharType="end"/>
            </w:r>
          </w:hyperlink>
        </w:p>
        <w:p w:rsidR="009567AD" w:rsidRDefault="00C31ECE">
          <w:pPr>
            <w:pStyle w:val="TM1"/>
            <w:tabs>
              <w:tab w:val="right" w:leader="dot" w:pos="9062"/>
            </w:tabs>
            <w:rPr>
              <w:noProof/>
            </w:rPr>
          </w:pPr>
          <w:hyperlink w:anchor="_Toc494049539" w:history="1">
            <w:r w:rsidR="009567AD" w:rsidRPr="00EF7967">
              <w:rPr>
                <w:rStyle w:val="Lienhypertexte"/>
                <w:noProof/>
              </w:rPr>
              <w:t>ARTICLE 7 – CADRAGE FINANCIER DU CONTRAT</w:t>
            </w:r>
            <w:r w:rsidR="009567AD">
              <w:rPr>
                <w:noProof/>
                <w:webHidden/>
              </w:rPr>
              <w:tab/>
            </w:r>
            <w:r w:rsidR="009567AD">
              <w:rPr>
                <w:noProof/>
                <w:webHidden/>
              </w:rPr>
              <w:fldChar w:fldCharType="begin"/>
            </w:r>
            <w:r w:rsidR="009567AD">
              <w:rPr>
                <w:noProof/>
                <w:webHidden/>
              </w:rPr>
              <w:instrText xml:space="preserve"> PAGEREF _Toc494049539 \h </w:instrText>
            </w:r>
            <w:r w:rsidR="009567AD">
              <w:rPr>
                <w:noProof/>
                <w:webHidden/>
              </w:rPr>
            </w:r>
            <w:r w:rsidR="009567AD">
              <w:rPr>
                <w:noProof/>
                <w:webHidden/>
              </w:rPr>
              <w:fldChar w:fldCharType="separate"/>
            </w:r>
            <w:r w:rsidR="00696679">
              <w:rPr>
                <w:noProof/>
                <w:webHidden/>
              </w:rPr>
              <w:t>9</w:t>
            </w:r>
            <w:r w:rsidR="009567AD">
              <w:rPr>
                <w:noProof/>
                <w:webHidden/>
              </w:rPr>
              <w:fldChar w:fldCharType="end"/>
            </w:r>
          </w:hyperlink>
        </w:p>
        <w:p w:rsidR="009567AD" w:rsidRDefault="00C31ECE">
          <w:pPr>
            <w:pStyle w:val="TM1"/>
            <w:tabs>
              <w:tab w:val="right" w:leader="dot" w:pos="9062"/>
            </w:tabs>
            <w:rPr>
              <w:noProof/>
            </w:rPr>
          </w:pPr>
          <w:hyperlink w:anchor="_Toc494049540" w:history="1">
            <w:r w:rsidR="009567AD" w:rsidRPr="00EF7967">
              <w:rPr>
                <w:rStyle w:val="Lienhypertexte"/>
                <w:noProof/>
              </w:rPr>
              <w:t>ARTICLE 8 – DUREE DU CPOM ET MODALITES DE SUIVI</w:t>
            </w:r>
            <w:r w:rsidR="009567AD">
              <w:rPr>
                <w:noProof/>
                <w:webHidden/>
              </w:rPr>
              <w:tab/>
            </w:r>
            <w:r w:rsidR="009567AD">
              <w:rPr>
                <w:noProof/>
                <w:webHidden/>
              </w:rPr>
              <w:fldChar w:fldCharType="begin"/>
            </w:r>
            <w:r w:rsidR="009567AD">
              <w:rPr>
                <w:noProof/>
                <w:webHidden/>
              </w:rPr>
              <w:instrText xml:space="preserve"> PAGEREF _Toc494049540 \h </w:instrText>
            </w:r>
            <w:r w:rsidR="009567AD">
              <w:rPr>
                <w:noProof/>
                <w:webHidden/>
              </w:rPr>
            </w:r>
            <w:r w:rsidR="009567AD">
              <w:rPr>
                <w:noProof/>
                <w:webHidden/>
              </w:rPr>
              <w:fldChar w:fldCharType="separate"/>
            </w:r>
            <w:r w:rsidR="00696679">
              <w:rPr>
                <w:noProof/>
                <w:webHidden/>
              </w:rPr>
              <w:t>13</w:t>
            </w:r>
            <w:r w:rsidR="009567AD">
              <w:rPr>
                <w:noProof/>
                <w:webHidden/>
              </w:rPr>
              <w:fldChar w:fldCharType="end"/>
            </w:r>
          </w:hyperlink>
        </w:p>
        <w:p w:rsidR="009567AD" w:rsidRDefault="00C31ECE">
          <w:pPr>
            <w:pStyle w:val="TM2"/>
            <w:tabs>
              <w:tab w:val="right" w:leader="dot" w:pos="9062"/>
            </w:tabs>
            <w:rPr>
              <w:noProof/>
            </w:rPr>
          </w:pPr>
          <w:hyperlink w:anchor="_Toc494049541" w:history="1">
            <w:r w:rsidR="009567AD" w:rsidRPr="00EF7967">
              <w:rPr>
                <w:rStyle w:val="Lienhypertexte"/>
                <w:noProof/>
              </w:rPr>
              <w:t>Annexe 1 : Synthèse du diagnostic partagé</w:t>
            </w:r>
            <w:r w:rsidR="009567AD">
              <w:rPr>
                <w:noProof/>
                <w:webHidden/>
              </w:rPr>
              <w:tab/>
            </w:r>
            <w:r w:rsidR="009567AD">
              <w:rPr>
                <w:noProof/>
                <w:webHidden/>
              </w:rPr>
              <w:fldChar w:fldCharType="begin"/>
            </w:r>
            <w:r w:rsidR="009567AD">
              <w:rPr>
                <w:noProof/>
                <w:webHidden/>
              </w:rPr>
              <w:instrText xml:space="preserve"> PAGEREF _Toc494049541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9567AD" w:rsidRDefault="00C31ECE">
          <w:pPr>
            <w:pStyle w:val="TM2"/>
            <w:tabs>
              <w:tab w:val="right" w:leader="dot" w:pos="9062"/>
            </w:tabs>
            <w:rPr>
              <w:noProof/>
            </w:rPr>
          </w:pPr>
          <w:hyperlink w:anchor="_Toc494049542" w:history="1">
            <w:r w:rsidR="009567AD" w:rsidRPr="00EF7967">
              <w:rPr>
                <w:rStyle w:val="Lienhypertexte"/>
                <w:noProof/>
              </w:rPr>
              <w:t>Annexe 2 : Tableau de synthèse des objectifs et actions du CPOM</w:t>
            </w:r>
            <w:r w:rsidR="009567AD">
              <w:rPr>
                <w:noProof/>
                <w:webHidden/>
              </w:rPr>
              <w:tab/>
            </w:r>
            <w:r w:rsidR="009567AD">
              <w:rPr>
                <w:noProof/>
                <w:webHidden/>
              </w:rPr>
              <w:fldChar w:fldCharType="begin"/>
            </w:r>
            <w:r w:rsidR="009567AD">
              <w:rPr>
                <w:noProof/>
                <w:webHidden/>
              </w:rPr>
              <w:instrText xml:space="preserve"> PAGEREF _Toc494049542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9567AD" w:rsidRDefault="00C31ECE">
          <w:pPr>
            <w:pStyle w:val="TM2"/>
            <w:tabs>
              <w:tab w:val="right" w:leader="dot" w:pos="9062"/>
            </w:tabs>
            <w:rPr>
              <w:noProof/>
            </w:rPr>
          </w:pPr>
          <w:hyperlink w:anchor="_Toc494049543" w:history="1">
            <w:r w:rsidR="009567AD" w:rsidRPr="00EF7967">
              <w:rPr>
                <w:rStyle w:val="Lienhypertexte"/>
                <w:noProof/>
              </w:rPr>
              <w:t>Annexe 3 : Fiches actions du CPOM</w:t>
            </w:r>
            <w:r w:rsidR="009567AD">
              <w:rPr>
                <w:noProof/>
                <w:webHidden/>
              </w:rPr>
              <w:tab/>
            </w:r>
            <w:r w:rsidR="009567AD">
              <w:rPr>
                <w:noProof/>
                <w:webHidden/>
              </w:rPr>
              <w:fldChar w:fldCharType="begin"/>
            </w:r>
            <w:r w:rsidR="009567AD">
              <w:rPr>
                <w:noProof/>
                <w:webHidden/>
              </w:rPr>
              <w:instrText xml:space="preserve"> PAGEREF _Toc494049543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9567AD" w:rsidRDefault="00C31ECE">
          <w:pPr>
            <w:pStyle w:val="TM2"/>
            <w:tabs>
              <w:tab w:val="right" w:leader="dot" w:pos="9062"/>
            </w:tabs>
            <w:rPr>
              <w:noProof/>
            </w:rPr>
          </w:pPr>
          <w:hyperlink w:anchor="_Toc494049544" w:history="1">
            <w:r w:rsidR="009567AD" w:rsidRPr="00EF7967">
              <w:rPr>
                <w:rStyle w:val="Lienhypertexte"/>
                <w:noProof/>
              </w:rPr>
              <w:t>Annexe 4 : Synthèse relative à l’évolution des activités prévues dans le cadre du contrat</w:t>
            </w:r>
            <w:r w:rsidR="009567AD">
              <w:rPr>
                <w:noProof/>
                <w:webHidden/>
              </w:rPr>
              <w:tab/>
            </w:r>
            <w:r w:rsidR="009567AD">
              <w:rPr>
                <w:noProof/>
                <w:webHidden/>
              </w:rPr>
              <w:fldChar w:fldCharType="begin"/>
            </w:r>
            <w:r w:rsidR="009567AD">
              <w:rPr>
                <w:noProof/>
                <w:webHidden/>
              </w:rPr>
              <w:instrText xml:space="preserve"> PAGEREF _Toc494049544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9567AD" w:rsidRDefault="00C31ECE">
          <w:pPr>
            <w:pStyle w:val="TM2"/>
            <w:tabs>
              <w:tab w:val="right" w:leader="dot" w:pos="9062"/>
            </w:tabs>
            <w:rPr>
              <w:noProof/>
            </w:rPr>
          </w:pPr>
          <w:hyperlink w:anchor="_Toc494049545" w:history="1">
            <w:r w:rsidR="009567AD" w:rsidRPr="00EF7967">
              <w:rPr>
                <w:rStyle w:val="Lienhypertexte"/>
                <w:noProof/>
              </w:rPr>
              <w:t>Annexe 5 : Synthèse des moyens mobilisés pendant le CPOM</w:t>
            </w:r>
            <w:r w:rsidR="009567AD">
              <w:rPr>
                <w:noProof/>
                <w:webHidden/>
              </w:rPr>
              <w:tab/>
            </w:r>
            <w:r w:rsidR="009567AD">
              <w:rPr>
                <w:noProof/>
                <w:webHidden/>
              </w:rPr>
              <w:fldChar w:fldCharType="begin"/>
            </w:r>
            <w:r w:rsidR="009567AD">
              <w:rPr>
                <w:noProof/>
                <w:webHidden/>
              </w:rPr>
              <w:instrText xml:space="preserve"> PAGEREF _Toc494049545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9567AD" w:rsidRDefault="00C31ECE">
          <w:pPr>
            <w:pStyle w:val="TM2"/>
            <w:tabs>
              <w:tab w:val="right" w:leader="dot" w:pos="9062"/>
            </w:tabs>
            <w:rPr>
              <w:noProof/>
            </w:rPr>
          </w:pPr>
          <w:hyperlink w:anchor="_Toc494049546" w:history="1">
            <w:r w:rsidR="009567AD" w:rsidRPr="00EF7967">
              <w:rPr>
                <w:rStyle w:val="Lienhypertexte"/>
                <w:noProof/>
              </w:rPr>
              <w:t>Annexe 6 : Dernier PPI approuvé ou tableau prévisionnel des investissements</w:t>
            </w:r>
            <w:r w:rsidR="009567AD">
              <w:rPr>
                <w:noProof/>
                <w:webHidden/>
              </w:rPr>
              <w:tab/>
            </w:r>
            <w:r w:rsidR="009567AD">
              <w:rPr>
                <w:noProof/>
                <w:webHidden/>
              </w:rPr>
              <w:fldChar w:fldCharType="begin"/>
            </w:r>
            <w:r w:rsidR="009567AD">
              <w:rPr>
                <w:noProof/>
                <w:webHidden/>
              </w:rPr>
              <w:instrText xml:space="preserve"> PAGEREF _Toc494049546 \h </w:instrText>
            </w:r>
            <w:r w:rsidR="009567AD">
              <w:rPr>
                <w:noProof/>
                <w:webHidden/>
              </w:rPr>
            </w:r>
            <w:r w:rsidR="009567AD">
              <w:rPr>
                <w:noProof/>
                <w:webHidden/>
              </w:rPr>
              <w:fldChar w:fldCharType="separate"/>
            </w:r>
            <w:r w:rsidR="00696679">
              <w:rPr>
                <w:noProof/>
                <w:webHidden/>
              </w:rPr>
              <w:t>16</w:t>
            </w:r>
            <w:r w:rsidR="009567AD">
              <w:rPr>
                <w:noProof/>
                <w:webHidden/>
              </w:rPr>
              <w:fldChar w:fldCharType="end"/>
            </w:r>
          </w:hyperlink>
        </w:p>
        <w:p w:rsidR="003B3AED" w:rsidRDefault="003B3AED">
          <w:r>
            <w:rPr>
              <w:b/>
              <w:bCs/>
            </w:rPr>
            <w:fldChar w:fldCharType="end"/>
          </w:r>
        </w:p>
      </w:sdtContent>
    </w:sdt>
    <w:p w:rsidR="00261B28" w:rsidRDefault="00261B28" w:rsidP="007A6CA7">
      <w:pPr>
        <w:pStyle w:val="Titre1"/>
        <w:rPr>
          <w:b w:val="0"/>
        </w:rPr>
      </w:pPr>
    </w:p>
    <w:p w:rsidR="00261B28" w:rsidRDefault="00261B28">
      <w:pPr>
        <w:rPr>
          <w:b/>
        </w:rPr>
      </w:pPr>
      <w:r>
        <w:rPr>
          <w:b/>
        </w:rPr>
        <w:br w:type="page"/>
      </w:r>
    </w:p>
    <w:p w:rsidR="00261B28" w:rsidRPr="00646009" w:rsidRDefault="00261B28" w:rsidP="006E6FC6">
      <w:pPr>
        <w:rPr>
          <w:b/>
        </w:rPr>
      </w:pPr>
    </w:p>
    <w:p w:rsidR="00261B28" w:rsidRDefault="00261B28" w:rsidP="00261B28">
      <w:pPr>
        <w:tabs>
          <w:tab w:val="left" w:pos="2595"/>
        </w:tabs>
      </w:pPr>
      <w:r w:rsidRPr="00730943">
        <w:rPr>
          <w:b/>
        </w:rPr>
        <w:t>Vu</w:t>
      </w:r>
      <w:r>
        <w:t xml:space="preserve"> la loi n°2015-1702 du 21 décembre 2015 de financement de la sécurité sociale pour 2016</w:t>
      </w:r>
      <w:r w:rsidR="00BA4431">
        <w:t xml:space="preserve"> et son article 75</w:t>
      </w:r>
      <w:r>
        <w:t> ;</w:t>
      </w:r>
    </w:p>
    <w:p w:rsidR="00261B28" w:rsidRDefault="00261B28" w:rsidP="00261B28">
      <w:pPr>
        <w:tabs>
          <w:tab w:val="left" w:pos="2595"/>
        </w:tabs>
        <w:jc w:val="both"/>
      </w:pPr>
      <w:r w:rsidRPr="00730943">
        <w:rPr>
          <w:b/>
        </w:rPr>
        <w:t>Vu</w:t>
      </w:r>
      <w:r>
        <w:t xml:space="preserve"> la loi n°2016-1827 du 2</w:t>
      </w:r>
      <w:r w:rsidR="00873DB5">
        <w:t>3 décembre 2016</w:t>
      </w:r>
      <w:r>
        <w:t xml:space="preserve"> de financement de la sécurité sociale pour 2017 et son article 89 ;</w:t>
      </w:r>
    </w:p>
    <w:p w:rsidR="00676319" w:rsidRDefault="00676319" w:rsidP="00261B28">
      <w:pPr>
        <w:tabs>
          <w:tab w:val="left" w:pos="2595"/>
        </w:tabs>
        <w:jc w:val="both"/>
      </w:pPr>
      <w:r w:rsidRPr="00FB0990">
        <w:rPr>
          <w:b/>
        </w:rPr>
        <w:t>Vu</w:t>
      </w:r>
      <w:r w:rsidR="00A044FB" w:rsidRPr="00FB0990">
        <w:t xml:space="preserve"> la loi n</w:t>
      </w:r>
      <w:r w:rsidRPr="00FB0990">
        <w:t>° 2017-1836 du 30 décembre 2017 de financement de la sécurité sociale pour 2018 et son article 70 ;</w:t>
      </w:r>
      <w:r>
        <w:t xml:space="preserve"> </w:t>
      </w:r>
    </w:p>
    <w:p w:rsidR="00261B28" w:rsidRPr="008B3207" w:rsidRDefault="00261B28" w:rsidP="00261B28">
      <w:pPr>
        <w:tabs>
          <w:tab w:val="left" w:pos="2595"/>
        </w:tabs>
        <w:jc w:val="both"/>
      </w:pPr>
      <w:r w:rsidRPr="008B3207">
        <w:rPr>
          <w:rFonts w:hint="eastAsia"/>
          <w:b/>
        </w:rPr>
        <w:t xml:space="preserve">Vu </w:t>
      </w:r>
      <w:r w:rsidRPr="008B3207">
        <w:rPr>
          <w:rFonts w:hint="eastAsia"/>
        </w:rPr>
        <w:t>le Code de l</w:t>
      </w:r>
      <w:r>
        <w:t>’</w:t>
      </w:r>
      <w:r w:rsidRPr="008B3207">
        <w:rPr>
          <w:rFonts w:hint="eastAsia"/>
        </w:rPr>
        <w:t>Action Sociale et des Familles (CAS</w:t>
      </w:r>
      <w:r>
        <w:rPr>
          <w:rFonts w:hint="eastAsia"/>
        </w:rPr>
        <w:t>F) et notamment ses articles L.</w:t>
      </w:r>
      <w:r w:rsidRPr="008B3207">
        <w:rPr>
          <w:rFonts w:hint="eastAsia"/>
        </w:rPr>
        <w:t>313</w:t>
      </w:r>
      <w:r>
        <w:t>-</w:t>
      </w:r>
      <w:r w:rsidRPr="008B3207">
        <w:rPr>
          <w:rFonts w:hint="eastAsia"/>
        </w:rPr>
        <w:t xml:space="preserve">11, L.313-12 et L.313-12-2, </w:t>
      </w:r>
    </w:p>
    <w:p w:rsidR="001B7552" w:rsidRDefault="001B7552" w:rsidP="001B7552">
      <w:pPr>
        <w:tabs>
          <w:tab w:val="left" w:pos="2595"/>
        </w:tabs>
        <w:jc w:val="both"/>
      </w:pPr>
      <w:r w:rsidRPr="00730943">
        <w:rPr>
          <w:b/>
        </w:rPr>
        <w:t>Vu</w:t>
      </w:r>
      <w:r>
        <w:t xml:space="preserve"> le décret n° 2016-1164 du 15 juin 2016 modifiant la procédure d’appel à projet et d’autorisation mentionnée à l’article L. 313-1-1 du CASF ;</w:t>
      </w:r>
    </w:p>
    <w:p w:rsidR="00261B28" w:rsidRDefault="00261B28" w:rsidP="00261B28">
      <w:pPr>
        <w:tabs>
          <w:tab w:val="left" w:pos="2595"/>
        </w:tabs>
        <w:jc w:val="both"/>
      </w:pPr>
      <w:r w:rsidRPr="00730943">
        <w:rPr>
          <w:b/>
        </w:rPr>
        <w:t>Vu</w:t>
      </w:r>
      <w:r>
        <w:t xml:space="preserve"> le décret n° 2016-1815 du 21 décembre 2016 modifiant les dispositions financières applicables aux établissements et services sociaux et médico-sociaux mentionnés au I de l’article L. 312-1 du CASF ;</w:t>
      </w:r>
    </w:p>
    <w:p w:rsidR="000E7CD5" w:rsidRDefault="000E7CD5" w:rsidP="00261B28">
      <w:pPr>
        <w:tabs>
          <w:tab w:val="left" w:pos="2595"/>
        </w:tabs>
        <w:jc w:val="both"/>
      </w:pPr>
      <w:r w:rsidRPr="00FB0990">
        <w:rPr>
          <w:b/>
        </w:rPr>
        <w:t>Vu</w:t>
      </w:r>
      <w:r w:rsidRPr="00FB0990">
        <w:t xml:space="preserve"> le décret n°2018-519 du 27 juin 2018 relatif à la modulation des tarifs des ESMS en fonction de l’activité et à l’affectation de leurs résultats ;</w:t>
      </w:r>
      <w:r>
        <w:t xml:space="preserve"> </w:t>
      </w:r>
    </w:p>
    <w:p w:rsidR="00261B28" w:rsidRDefault="00261B28" w:rsidP="00261B28">
      <w:pPr>
        <w:tabs>
          <w:tab w:val="left" w:pos="2595"/>
        </w:tabs>
        <w:jc w:val="both"/>
      </w:pPr>
      <w:r w:rsidRPr="00E172D3">
        <w:rPr>
          <w:b/>
        </w:rPr>
        <w:t xml:space="preserve">Vu </w:t>
      </w:r>
      <w:r w:rsidRPr="00E172D3">
        <w:t>la circulaire N°DGAS/SD5B/2006/216 du 18 mai 2006, relative à la pluri annualité budgétaire et à la dotation globalisée commune à plusieurs établissements et services sociaux et médico‐sociaux relevant de la même enveloppe de crédits limitatifs et à la coopération sociale et médico‐sociale dans le cadre des groupements d’établissements</w:t>
      </w:r>
      <w:r>
        <w:t> ;</w:t>
      </w:r>
      <w:r w:rsidRPr="00E172D3">
        <w:t xml:space="preserve"> </w:t>
      </w:r>
    </w:p>
    <w:p w:rsidR="00EE39C9" w:rsidRDefault="00EE39C9" w:rsidP="00261B28">
      <w:pPr>
        <w:tabs>
          <w:tab w:val="left" w:pos="2595"/>
        </w:tabs>
        <w:jc w:val="both"/>
      </w:pPr>
      <w:r w:rsidRPr="00FB0990">
        <w:rPr>
          <w:b/>
        </w:rPr>
        <w:t>Vu</w:t>
      </w:r>
      <w:r w:rsidRPr="00FB0990">
        <w:t xml:space="preserve"> </w:t>
      </w:r>
      <w:r w:rsidR="000E7CD5" w:rsidRPr="00FB0990">
        <w:t>la circulaire n° DGCS/SD5C/DSS/CNSA/2017/150 du 2 mai 2017 relative aux orientations de l’exercice 2017 pour la campagne budgétaire des établissements et services médico-sociaux accueillant des personnes handicapées et des personnes âgées ;</w:t>
      </w:r>
    </w:p>
    <w:p w:rsidR="00261B28" w:rsidRDefault="00261B28" w:rsidP="00261B28">
      <w:pPr>
        <w:tabs>
          <w:tab w:val="left" w:pos="2595"/>
        </w:tabs>
        <w:jc w:val="both"/>
        <w:rPr>
          <w:b/>
        </w:rPr>
      </w:pPr>
      <w:r>
        <w:rPr>
          <w:b/>
        </w:rPr>
        <w:t xml:space="preserve">Vu </w:t>
      </w:r>
      <w:r w:rsidR="001B7552">
        <w:t>le Projet Régional de Santé</w:t>
      </w:r>
      <w:r>
        <w:t> ;</w:t>
      </w:r>
    </w:p>
    <w:p w:rsidR="00261B28" w:rsidRDefault="00261B28" w:rsidP="00261B28">
      <w:pPr>
        <w:tabs>
          <w:tab w:val="left" w:pos="2595"/>
        </w:tabs>
        <w:jc w:val="both"/>
        <w:rPr>
          <w:b/>
        </w:rPr>
      </w:pPr>
      <w:r>
        <w:rPr>
          <w:b/>
        </w:rPr>
        <w:t xml:space="preserve">Vu </w:t>
      </w:r>
      <w:r>
        <w:t xml:space="preserve">l’arrêté </w:t>
      </w:r>
      <w:r w:rsidR="007A6CA7">
        <w:t xml:space="preserve">n°2017-0329 du 2 février 2017 portant sur la </w:t>
      </w:r>
      <w:r>
        <w:t xml:space="preserve">programmation </w:t>
      </w:r>
      <w:r w:rsidR="007A6CA7">
        <w:t>des CPOM pour les ESMS à compétence exclusive</w:t>
      </w:r>
      <w:r>
        <w:t xml:space="preserve"> de l’ARS </w:t>
      </w:r>
      <w:r w:rsidR="007A6CA7">
        <w:t>Grand Est pour la période 2017-2021</w:t>
      </w:r>
      <w:r>
        <w:t> ;</w:t>
      </w:r>
    </w:p>
    <w:p w:rsidR="00261B28" w:rsidRDefault="00261B28" w:rsidP="00261B28">
      <w:pPr>
        <w:tabs>
          <w:tab w:val="left" w:pos="2595"/>
        </w:tabs>
        <w:jc w:val="both"/>
      </w:pPr>
      <w:r>
        <w:rPr>
          <w:b/>
        </w:rPr>
        <w:t xml:space="preserve">Vu </w:t>
      </w:r>
      <w:r>
        <w:t>la délibération en date du JJ/MM/AAAA du Conseil d’Administration de *** relative au contrat d’objectifs et</w:t>
      </w:r>
      <w:r w:rsidR="00440B4A">
        <w:t xml:space="preserve"> de moyens entre RAISON SOCIALE et</w:t>
      </w:r>
      <w:r>
        <w:t xml:space="preserve"> l’ARS Grand Est *** pour la période suivante : PERIODE DU CONTRAT ;</w:t>
      </w:r>
    </w:p>
    <w:p w:rsidR="001B7552" w:rsidRDefault="001B7552">
      <w:pPr>
        <w:rPr>
          <w:rFonts w:eastAsiaTheme="majorEastAsia" w:cstheme="majorBidi"/>
          <w:b/>
          <w:bCs/>
          <w:color w:val="365F91" w:themeColor="accent1" w:themeShade="BF"/>
          <w:sz w:val="26"/>
          <w:szCs w:val="26"/>
        </w:rPr>
      </w:pPr>
      <w:r>
        <w:rPr>
          <w:sz w:val="26"/>
          <w:szCs w:val="26"/>
        </w:rPr>
        <w:br w:type="page"/>
      </w:r>
    </w:p>
    <w:p w:rsidR="00D5534A" w:rsidRPr="00CB4E7A" w:rsidRDefault="00CB4E7A" w:rsidP="00CB4E7A">
      <w:pPr>
        <w:pStyle w:val="Titre1"/>
      </w:pPr>
      <w:bookmarkStart w:id="1" w:name="_Toc494049533"/>
      <w:r w:rsidRPr="00CB4E7A">
        <w:lastRenderedPageBreak/>
        <w:t xml:space="preserve">ARTICLE 1 – </w:t>
      </w:r>
      <w:r w:rsidR="00D5534A" w:rsidRPr="00CB4E7A">
        <w:t>OBJET DU CONTRAT</w:t>
      </w:r>
      <w:bookmarkEnd w:id="1"/>
    </w:p>
    <w:p w:rsidR="00D5534A" w:rsidRPr="00646009" w:rsidRDefault="00D5534A" w:rsidP="006E6FC6">
      <w:pPr>
        <w:pStyle w:val="Default"/>
        <w:spacing w:line="276" w:lineRule="auto"/>
        <w:jc w:val="both"/>
        <w:rPr>
          <w:rFonts w:asciiTheme="minorHAnsi" w:hAnsiTheme="minorHAnsi"/>
          <w:color w:val="auto"/>
          <w:sz w:val="22"/>
          <w:szCs w:val="22"/>
        </w:rPr>
      </w:pPr>
      <w:r w:rsidRPr="00646009">
        <w:rPr>
          <w:rFonts w:asciiTheme="minorHAnsi" w:hAnsiTheme="minorHAnsi"/>
          <w:color w:val="auto"/>
          <w:sz w:val="22"/>
          <w:szCs w:val="22"/>
        </w:rPr>
        <w:t xml:space="preserve">Le présent contrat définit les relations entre le </w:t>
      </w:r>
      <w:r w:rsidRPr="00646009">
        <w:rPr>
          <w:rFonts w:asciiTheme="minorHAnsi" w:hAnsiTheme="minorHAnsi"/>
          <w:i/>
          <w:color w:val="auto"/>
          <w:sz w:val="22"/>
          <w:szCs w:val="22"/>
        </w:rPr>
        <w:t>nom du gestionnaire</w:t>
      </w:r>
      <w:r w:rsidRPr="00646009">
        <w:rPr>
          <w:rFonts w:asciiTheme="minorHAnsi" w:hAnsiTheme="minorHAnsi"/>
          <w:color w:val="auto"/>
          <w:sz w:val="22"/>
          <w:szCs w:val="22"/>
        </w:rPr>
        <w:t xml:space="preserve"> et l’ARS </w:t>
      </w:r>
      <w:r w:rsidR="007E714A" w:rsidRPr="00646009">
        <w:rPr>
          <w:rFonts w:asciiTheme="minorHAnsi" w:hAnsiTheme="minorHAnsi"/>
          <w:color w:val="auto"/>
          <w:sz w:val="22"/>
          <w:szCs w:val="22"/>
        </w:rPr>
        <w:t xml:space="preserve">Grand Est </w:t>
      </w:r>
      <w:r w:rsidRPr="00646009">
        <w:rPr>
          <w:rFonts w:asciiTheme="minorHAnsi" w:hAnsiTheme="minorHAnsi"/>
          <w:color w:val="auto"/>
          <w:sz w:val="22"/>
          <w:szCs w:val="22"/>
        </w:rPr>
        <w:t>pour cinq ans.</w:t>
      </w:r>
    </w:p>
    <w:p w:rsidR="0024076D" w:rsidRPr="00646009" w:rsidRDefault="0024076D"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 xml:space="preserve">1.1 Objectifs </w:t>
      </w:r>
      <w:r w:rsidR="00F00EBD" w:rsidRPr="00646009">
        <w:rPr>
          <w:rFonts w:asciiTheme="minorHAnsi" w:hAnsiTheme="minorHAnsi"/>
          <w:sz w:val="22"/>
          <w:szCs w:val="22"/>
        </w:rPr>
        <w:t>stratégiques du</w:t>
      </w:r>
      <w:r w:rsidRPr="00646009">
        <w:rPr>
          <w:rFonts w:asciiTheme="minorHAnsi" w:hAnsiTheme="minorHAnsi"/>
          <w:sz w:val="22"/>
          <w:szCs w:val="22"/>
        </w:rPr>
        <w:t xml:space="preserve"> contrat</w:t>
      </w:r>
    </w:p>
    <w:p w:rsidR="00D5534A" w:rsidRPr="00646009" w:rsidRDefault="00D5534A"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Il définit les objectifs et engagements du gestionnaire et les moyens qui lui seront alloués pendant la durée du contrat par l’ARS.</w:t>
      </w:r>
    </w:p>
    <w:p w:rsidR="00D5534A" w:rsidRPr="00646009" w:rsidRDefault="00D5534A"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 xml:space="preserve">Le contrat d’objectif et de moyens </w:t>
      </w:r>
      <w:r w:rsidR="003D696F">
        <w:rPr>
          <w:rFonts w:asciiTheme="minorHAnsi" w:hAnsiTheme="minorHAnsi"/>
          <w:color w:val="auto"/>
          <w:sz w:val="22"/>
          <w:szCs w:val="22"/>
        </w:rPr>
        <w:t xml:space="preserve">(CPOM) </w:t>
      </w:r>
      <w:r w:rsidRPr="00646009">
        <w:rPr>
          <w:rFonts w:asciiTheme="minorHAnsi" w:hAnsiTheme="minorHAnsi"/>
          <w:color w:val="auto"/>
          <w:sz w:val="22"/>
          <w:szCs w:val="22"/>
        </w:rPr>
        <w:t xml:space="preserve">doit permettre la déclinaison </w:t>
      </w:r>
      <w:r w:rsidR="00DC36E7" w:rsidRPr="00646009">
        <w:rPr>
          <w:rFonts w:asciiTheme="minorHAnsi" w:hAnsiTheme="minorHAnsi"/>
          <w:color w:val="auto"/>
          <w:sz w:val="22"/>
          <w:szCs w:val="22"/>
        </w:rPr>
        <w:t>par objectifs des orientations du Projet Régional de Santé</w:t>
      </w:r>
      <w:r w:rsidR="000D2734" w:rsidRPr="00646009">
        <w:rPr>
          <w:rFonts w:asciiTheme="minorHAnsi" w:hAnsiTheme="minorHAnsi"/>
          <w:color w:val="auto"/>
          <w:sz w:val="22"/>
          <w:szCs w:val="22"/>
        </w:rPr>
        <w:t xml:space="preserve"> </w:t>
      </w:r>
      <w:r w:rsidR="001B7552">
        <w:rPr>
          <w:rFonts w:asciiTheme="minorHAnsi" w:hAnsiTheme="minorHAnsi"/>
          <w:color w:val="auto"/>
          <w:sz w:val="22"/>
          <w:szCs w:val="22"/>
        </w:rPr>
        <w:t xml:space="preserve">(PRS) </w:t>
      </w:r>
      <w:r w:rsidR="000D2734" w:rsidRPr="00646009">
        <w:rPr>
          <w:rFonts w:asciiTheme="minorHAnsi" w:hAnsiTheme="minorHAnsi"/>
          <w:color w:val="auto"/>
          <w:sz w:val="22"/>
          <w:szCs w:val="22"/>
        </w:rPr>
        <w:t>de l’ARS Grand Est</w:t>
      </w:r>
      <w:r w:rsidR="00DC36E7" w:rsidRPr="00646009">
        <w:rPr>
          <w:rFonts w:asciiTheme="minorHAnsi" w:hAnsiTheme="minorHAnsi"/>
          <w:color w:val="auto"/>
          <w:sz w:val="22"/>
          <w:szCs w:val="22"/>
        </w:rPr>
        <w:t xml:space="preserve"> </w:t>
      </w:r>
      <w:r w:rsidRPr="00646009">
        <w:rPr>
          <w:rFonts w:asciiTheme="minorHAnsi" w:hAnsiTheme="minorHAnsi"/>
          <w:color w:val="auto"/>
          <w:sz w:val="22"/>
          <w:szCs w:val="22"/>
        </w:rPr>
        <w:t xml:space="preserve">dans les territoires en définissant des orientations stratégiques partagées avec le gestionnaire. </w:t>
      </w:r>
    </w:p>
    <w:p w:rsidR="00D5534A" w:rsidRPr="00646009" w:rsidRDefault="00D5534A"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Ces orientations doivent se traduire dans un plan d’actions concrètes permettant de répondre aux objectifs suivants :</w:t>
      </w:r>
    </w:p>
    <w:p w:rsidR="00D5534A" w:rsidRPr="00646009" w:rsidRDefault="000D2734" w:rsidP="006E6FC6">
      <w:pPr>
        <w:pStyle w:val="Default"/>
        <w:numPr>
          <w:ilvl w:val="0"/>
          <w:numId w:val="6"/>
        </w:numPr>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Faire</w:t>
      </w:r>
      <w:r w:rsidR="00F00EBD" w:rsidRPr="00646009">
        <w:rPr>
          <w:rFonts w:asciiTheme="minorHAnsi" w:hAnsiTheme="minorHAnsi"/>
          <w:color w:val="auto"/>
          <w:sz w:val="22"/>
          <w:szCs w:val="22"/>
        </w:rPr>
        <w:t xml:space="preserve"> évoluer l’offre médico-sociale et a</w:t>
      </w:r>
      <w:r w:rsidR="00D5534A" w:rsidRPr="00646009">
        <w:rPr>
          <w:rFonts w:asciiTheme="minorHAnsi" w:hAnsiTheme="minorHAnsi"/>
          <w:color w:val="auto"/>
          <w:sz w:val="22"/>
          <w:szCs w:val="22"/>
        </w:rPr>
        <w:t xml:space="preserve">méliorer la réponse aux besoins des personnes </w:t>
      </w:r>
      <w:r w:rsidR="004055E3" w:rsidRPr="00646009">
        <w:rPr>
          <w:rFonts w:asciiTheme="minorHAnsi" w:hAnsiTheme="minorHAnsi"/>
          <w:color w:val="auto"/>
          <w:sz w:val="22"/>
          <w:szCs w:val="22"/>
        </w:rPr>
        <w:t>en situation de handicap</w:t>
      </w:r>
      <w:r w:rsidR="001F11B5" w:rsidRPr="00646009">
        <w:rPr>
          <w:rFonts w:asciiTheme="minorHAnsi" w:hAnsiTheme="minorHAnsi"/>
          <w:color w:val="auto"/>
          <w:sz w:val="22"/>
          <w:szCs w:val="22"/>
        </w:rPr>
        <w:t xml:space="preserve"> sur les territoires ;</w:t>
      </w:r>
    </w:p>
    <w:p w:rsidR="00B25B69" w:rsidRPr="000F5BC1" w:rsidRDefault="00B25B69" w:rsidP="00B25B69">
      <w:pPr>
        <w:pStyle w:val="Default"/>
        <w:numPr>
          <w:ilvl w:val="0"/>
          <w:numId w:val="6"/>
        </w:numPr>
        <w:spacing w:after="120"/>
        <w:jc w:val="both"/>
        <w:rPr>
          <w:rFonts w:asciiTheme="minorHAnsi" w:hAnsiTheme="minorHAnsi"/>
          <w:color w:val="auto"/>
          <w:sz w:val="22"/>
          <w:szCs w:val="22"/>
        </w:rPr>
      </w:pPr>
      <w:r w:rsidRPr="000F5BC1">
        <w:rPr>
          <w:rFonts w:asciiTheme="minorHAnsi" w:hAnsiTheme="minorHAnsi"/>
          <w:color w:val="auto"/>
          <w:sz w:val="22"/>
          <w:szCs w:val="22"/>
        </w:rPr>
        <w:t xml:space="preserve">Améliorer la qualité des accompagnements, notamment par un processus continu d’évaluation </w:t>
      </w:r>
      <w:r>
        <w:rPr>
          <w:rFonts w:asciiTheme="minorHAnsi" w:hAnsiTheme="minorHAnsi"/>
          <w:color w:val="auto"/>
          <w:sz w:val="22"/>
          <w:szCs w:val="22"/>
        </w:rPr>
        <w:t>et d’amélioration de la qualité.</w:t>
      </w:r>
      <w:r w:rsidRPr="00BA4956">
        <w:rPr>
          <w:rFonts w:asciiTheme="minorHAnsi" w:hAnsiTheme="minorHAnsi"/>
          <w:color w:val="auto"/>
          <w:sz w:val="22"/>
          <w:szCs w:val="22"/>
        </w:rPr>
        <w:t xml:space="preserve"> </w:t>
      </w:r>
      <w:r>
        <w:rPr>
          <w:rFonts w:asciiTheme="minorHAnsi" w:hAnsiTheme="minorHAnsi"/>
          <w:color w:val="auto"/>
          <w:sz w:val="22"/>
          <w:szCs w:val="22"/>
        </w:rPr>
        <w:t xml:space="preserve">Assurer le respect du droit des usagers, </w:t>
      </w:r>
      <w:r w:rsidRPr="00823491">
        <w:rPr>
          <w:rFonts w:asciiTheme="minorHAnsi" w:hAnsiTheme="minorHAnsi"/>
          <w:color w:val="auto"/>
          <w:sz w:val="22"/>
          <w:szCs w:val="22"/>
        </w:rPr>
        <w:t>de l’expression et du respect de leur projet de vie. Veiller au bien-être des per</w:t>
      </w:r>
      <w:r>
        <w:rPr>
          <w:rFonts w:asciiTheme="minorHAnsi" w:hAnsiTheme="minorHAnsi"/>
          <w:color w:val="auto"/>
          <w:sz w:val="22"/>
          <w:szCs w:val="22"/>
        </w:rPr>
        <w:t>sonnes en situation de handicap ;</w:t>
      </w:r>
    </w:p>
    <w:p w:rsidR="00D5534A" w:rsidRPr="00646009" w:rsidRDefault="00B25B69" w:rsidP="006E6FC6">
      <w:pPr>
        <w:pStyle w:val="Default"/>
        <w:numPr>
          <w:ilvl w:val="0"/>
          <w:numId w:val="6"/>
        </w:numPr>
        <w:spacing w:after="120" w:line="276" w:lineRule="auto"/>
        <w:jc w:val="both"/>
        <w:rPr>
          <w:rFonts w:asciiTheme="minorHAnsi" w:hAnsiTheme="minorHAnsi"/>
          <w:color w:val="auto"/>
          <w:sz w:val="22"/>
          <w:szCs w:val="22"/>
        </w:rPr>
      </w:pPr>
      <w:r>
        <w:rPr>
          <w:rFonts w:asciiTheme="minorHAnsi" w:hAnsiTheme="minorHAnsi"/>
          <w:color w:val="auto"/>
          <w:sz w:val="22"/>
          <w:szCs w:val="22"/>
        </w:rPr>
        <w:t>Faciliter</w:t>
      </w:r>
      <w:r w:rsidR="00D5534A" w:rsidRPr="00646009">
        <w:rPr>
          <w:rFonts w:asciiTheme="minorHAnsi" w:hAnsiTheme="minorHAnsi"/>
          <w:color w:val="auto"/>
          <w:sz w:val="22"/>
          <w:szCs w:val="22"/>
        </w:rPr>
        <w:t xml:space="preserve"> l’inscription des établissements et services médico-sociaux</w:t>
      </w:r>
      <w:r w:rsidR="003D696F">
        <w:rPr>
          <w:rFonts w:asciiTheme="minorHAnsi" w:hAnsiTheme="minorHAnsi"/>
          <w:color w:val="auto"/>
          <w:sz w:val="22"/>
          <w:szCs w:val="22"/>
        </w:rPr>
        <w:t xml:space="preserve"> (ESMS)</w:t>
      </w:r>
      <w:r w:rsidR="00D5534A" w:rsidRPr="00646009">
        <w:rPr>
          <w:rFonts w:asciiTheme="minorHAnsi" w:hAnsiTheme="minorHAnsi"/>
          <w:color w:val="auto"/>
          <w:sz w:val="22"/>
          <w:szCs w:val="22"/>
        </w:rPr>
        <w:t xml:space="preserve"> dans leurs territoires, et faciliter les coopérations inter-établisseme</w:t>
      </w:r>
      <w:r w:rsidR="001F11B5" w:rsidRPr="00646009">
        <w:rPr>
          <w:rFonts w:asciiTheme="minorHAnsi" w:hAnsiTheme="minorHAnsi"/>
          <w:color w:val="auto"/>
          <w:sz w:val="22"/>
          <w:szCs w:val="22"/>
        </w:rPr>
        <w:t>nts et inter-gestionnaires ;</w:t>
      </w:r>
    </w:p>
    <w:p w:rsidR="0016677E" w:rsidRPr="00646009" w:rsidRDefault="00D5534A" w:rsidP="006E6FC6">
      <w:pPr>
        <w:pStyle w:val="Default"/>
        <w:numPr>
          <w:ilvl w:val="0"/>
          <w:numId w:val="6"/>
        </w:numPr>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Optimiser la gestion des moyens humains et financiers mis à disposition des gestionnaires pour remplir leurs missions a</w:t>
      </w:r>
      <w:r w:rsidR="0024076D" w:rsidRPr="00646009">
        <w:rPr>
          <w:rFonts w:asciiTheme="minorHAnsi" w:hAnsiTheme="minorHAnsi"/>
          <w:color w:val="auto"/>
          <w:sz w:val="22"/>
          <w:szCs w:val="22"/>
        </w:rPr>
        <w:t>uprès des personnes handicapées.</w:t>
      </w:r>
    </w:p>
    <w:p w:rsidR="00646009" w:rsidRPr="00646009" w:rsidRDefault="00646009" w:rsidP="006E6FC6">
      <w:pPr>
        <w:pStyle w:val="Default"/>
        <w:spacing w:after="120" w:line="276" w:lineRule="auto"/>
        <w:jc w:val="both"/>
        <w:rPr>
          <w:rFonts w:asciiTheme="minorHAnsi" w:hAnsiTheme="minorHAnsi"/>
          <w:color w:val="auto"/>
          <w:sz w:val="22"/>
          <w:szCs w:val="22"/>
        </w:rPr>
      </w:pPr>
    </w:p>
    <w:p w:rsidR="003B5939" w:rsidRPr="00646009" w:rsidRDefault="00965D1E"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1.2 Evolution de l’offre</w:t>
      </w:r>
    </w:p>
    <w:p w:rsidR="003125B9" w:rsidRPr="00646009" w:rsidRDefault="003125B9" w:rsidP="006E6FC6">
      <w:pPr>
        <w:jc w:val="both"/>
      </w:pPr>
      <w:r w:rsidRPr="00646009">
        <w:t>Le CPOM étant un outil de déclinaison des priorités de politique publique, il appartient à l’organisme gestionnaire</w:t>
      </w:r>
      <w:r w:rsidR="004744D5" w:rsidRPr="00646009">
        <w:t xml:space="preserve"> </w:t>
      </w:r>
      <w:r w:rsidRPr="00646009">
        <w:t>de s’inscrire dans la logique de transformation de l’offre et de construction de parcours portée par l’ARS Grand Est.</w:t>
      </w:r>
    </w:p>
    <w:p w:rsidR="002B5DB2" w:rsidRPr="00646009" w:rsidRDefault="001424C2" w:rsidP="006E6FC6">
      <w:pPr>
        <w:jc w:val="both"/>
      </w:pPr>
      <w:r w:rsidRPr="00646009">
        <w:t>L’évolution du régime des autorisations</w:t>
      </w:r>
      <w:r w:rsidR="004744D5" w:rsidRPr="00646009">
        <w:t xml:space="preserve"> </w:t>
      </w:r>
      <w:r w:rsidR="001B7343" w:rsidRPr="00646009">
        <w:t>et de la procédure d’appel à projet</w:t>
      </w:r>
      <w:r w:rsidR="004011C0">
        <w:t>s</w:t>
      </w:r>
      <w:r w:rsidR="001B7343" w:rsidRPr="00646009">
        <w:t xml:space="preserve"> vise à conforter le CPOM comme outil de la transformation de l’offre</w:t>
      </w:r>
      <w:r w:rsidR="002B5DB2" w:rsidRPr="00646009">
        <w:t>. Ainsi, l’ensemble des projets du gestionnaire relatifs à son activité doivent figurer dans le corps du CPOM.</w:t>
      </w:r>
    </w:p>
    <w:p w:rsidR="00646009" w:rsidRPr="00646009" w:rsidRDefault="00646009" w:rsidP="006E6FC6">
      <w:pPr>
        <w:jc w:val="both"/>
      </w:pPr>
    </w:p>
    <w:p w:rsidR="003B5939" w:rsidRPr="00646009" w:rsidRDefault="00965D1E"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1.3</w:t>
      </w:r>
      <w:r w:rsidR="003B5939" w:rsidRPr="00646009">
        <w:rPr>
          <w:rFonts w:asciiTheme="minorHAnsi" w:hAnsiTheme="minorHAnsi"/>
          <w:sz w:val="22"/>
          <w:szCs w:val="22"/>
        </w:rPr>
        <w:t xml:space="preserve"> Qualité des accompagnements</w:t>
      </w:r>
    </w:p>
    <w:p w:rsidR="003B5939" w:rsidRPr="00646009" w:rsidRDefault="003B5939" w:rsidP="006E6FC6">
      <w:pPr>
        <w:jc w:val="both"/>
      </w:pPr>
      <w:r w:rsidRPr="00646009">
        <w:t>Chaque gestionnaire d’</w:t>
      </w:r>
      <w:r w:rsidR="00DC5E39">
        <w:t xml:space="preserve">ESMS </w:t>
      </w:r>
      <w:r w:rsidRPr="00646009">
        <w:t>doit être engagé dans une démarche organisée et évaluée d'amélioration de la qualité en articulation avec les référentiels de bonne</w:t>
      </w:r>
      <w:r w:rsidR="005E620D">
        <w:t>s</w:t>
      </w:r>
      <w:r w:rsidRPr="00646009">
        <w:t xml:space="preserve"> pratique</w:t>
      </w:r>
      <w:r w:rsidR="005E620D">
        <w:t>s</w:t>
      </w:r>
      <w:r w:rsidRPr="00646009">
        <w:t xml:space="preserve"> HAS et les</w:t>
      </w:r>
      <w:r w:rsidR="004744D5" w:rsidRPr="00646009">
        <w:t xml:space="preserve"> </w:t>
      </w:r>
      <w:r w:rsidRPr="00646009">
        <w:t xml:space="preserve">recommandations de bonnes pratiques </w:t>
      </w:r>
      <w:r w:rsidR="00D22F47">
        <w:t xml:space="preserve">de </w:t>
      </w:r>
      <w:r w:rsidR="00D22F47" w:rsidRPr="004F16D3">
        <w:t>l’Agence Nationale de l'Evaluation et de la Qualité des Etablissements et Services Sociaux et</w:t>
      </w:r>
      <w:r w:rsidR="00D22F47">
        <w:t xml:space="preserve"> </w:t>
      </w:r>
      <w:r w:rsidR="00D22F47" w:rsidRPr="004F16D3">
        <w:t>Médico-sociaux (</w:t>
      </w:r>
      <w:r w:rsidR="00D22F47">
        <w:t>ANESM)</w:t>
      </w:r>
      <w:r w:rsidRPr="00646009">
        <w:t xml:space="preserve">. </w:t>
      </w:r>
    </w:p>
    <w:p w:rsidR="003B5939" w:rsidRPr="00646009" w:rsidRDefault="003B5939" w:rsidP="006E6FC6">
      <w:pPr>
        <w:jc w:val="both"/>
      </w:pPr>
      <w:r w:rsidRPr="00646009">
        <w:lastRenderedPageBreak/>
        <w:t>Le processus d’amélioration continu</w:t>
      </w:r>
      <w:r w:rsidR="00EF7C1C">
        <w:t>e</w:t>
      </w:r>
      <w:r w:rsidRPr="00646009">
        <w:t xml:space="preserve"> de la qualité s’inscrira dans l’obligation réglementaire du gestionnaire d’adhérer à la démarche d’évaluation interne et externe.</w:t>
      </w:r>
    </w:p>
    <w:p w:rsidR="00115B80" w:rsidRPr="004E176C" w:rsidRDefault="003B5939" w:rsidP="00115B80">
      <w:pPr>
        <w:jc w:val="both"/>
      </w:pPr>
      <w:r w:rsidRPr="00646009">
        <w:t>De même, afin de garantir un parcours en adéquation avec les besoins des personnes accompagnées, le gestionnaire s’engage à participer, sur son territoire, au déploiement du dispositif « Réponse accompagnée pour tous » et à utiliser l’outil Via Trajectoire PH</w:t>
      </w:r>
      <w:r w:rsidR="00AC28CD" w:rsidRPr="00646009">
        <w:t xml:space="preserve"> pour l’ensemble des usagers concernés</w:t>
      </w:r>
      <w:r w:rsidRPr="00646009">
        <w:t>.</w:t>
      </w:r>
      <w:r w:rsidR="00115B80">
        <w:t xml:space="preserve"> </w:t>
      </w:r>
      <w:r w:rsidR="00115B80" w:rsidRPr="004E176C">
        <w:rPr>
          <w:rFonts w:cs="Arial"/>
          <w:bCs/>
        </w:rPr>
        <w:t>Afin d’assurer les exigences « d’une réponse accompagnée pour tous » les étab</w:t>
      </w:r>
      <w:r w:rsidR="00C31ECE">
        <w:rPr>
          <w:rFonts w:cs="Arial"/>
          <w:bCs/>
        </w:rPr>
        <w:t xml:space="preserve">lissements et services médico-sociaux </w:t>
      </w:r>
      <w:r w:rsidR="00115B80" w:rsidRPr="004E176C">
        <w:rPr>
          <w:rFonts w:cs="Arial"/>
          <w:bCs/>
        </w:rPr>
        <w:t xml:space="preserve">du département </w:t>
      </w:r>
      <w:r w:rsidR="00115B80" w:rsidRPr="004E176C">
        <w:rPr>
          <w:rFonts w:cs="Arial"/>
          <w:bCs/>
          <w:highlight w:val="yellow"/>
        </w:rPr>
        <w:t>XXXX</w:t>
      </w:r>
      <w:r w:rsidR="00115B80" w:rsidRPr="004E176C">
        <w:rPr>
          <w:rFonts w:cs="Arial"/>
          <w:bCs/>
        </w:rPr>
        <w:t xml:space="preserve"> s’engag</w:t>
      </w:r>
      <w:r w:rsidR="00C31ECE">
        <w:rPr>
          <w:rFonts w:cs="Arial"/>
          <w:bCs/>
        </w:rPr>
        <w:t>ent dans la mise en œuvre du</w:t>
      </w:r>
      <w:r w:rsidR="00115B80" w:rsidRPr="004E176C">
        <w:rPr>
          <w:rFonts w:cs="Arial"/>
          <w:bCs/>
        </w:rPr>
        <w:t xml:space="preserve"> protocole partenarial</w:t>
      </w:r>
      <w:r w:rsidR="00C31ECE">
        <w:rPr>
          <w:rFonts w:cs="Arial"/>
          <w:bCs/>
        </w:rPr>
        <w:t xml:space="preserve"> départemental</w:t>
      </w:r>
      <w:r w:rsidR="00115B80" w:rsidRPr="004E176C">
        <w:rPr>
          <w:rFonts w:cs="Arial"/>
          <w:bCs/>
        </w:rPr>
        <w:t xml:space="preserve"> et</w:t>
      </w:r>
      <w:r w:rsidR="00C31ECE">
        <w:rPr>
          <w:rFonts w:cs="Arial"/>
          <w:bCs/>
        </w:rPr>
        <w:t>,</w:t>
      </w:r>
      <w:r w:rsidR="00115B80" w:rsidRPr="004E176C">
        <w:rPr>
          <w:rFonts w:cs="Arial"/>
          <w:bCs/>
        </w:rPr>
        <w:t xml:space="preserve"> notamment</w:t>
      </w:r>
      <w:r w:rsidR="00C31ECE">
        <w:rPr>
          <w:rFonts w:cs="Arial"/>
          <w:bCs/>
        </w:rPr>
        <w:t>,</w:t>
      </w:r>
      <w:bookmarkStart w:id="2" w:name="_GoBack"/>
      <w:bookmarkEnd w:id="2"/>
      <w:r w:rsidR="00115B80" w:rsidRPr="004E176C">
        <w:rPr>
          <w:rFonts w:cs="Arial"/>
          <w:bCs/>
        </w:rPr>
        <w:t xml:space="preserve"> à participer à 100 % des groupes opérationnels de synthèse auxquels ils sont invités par la MDPH.</w:t>
      </w:r>
    </w:p>
    <w:p w:rsidR="003B5939" w:rsidRPr="00646009" w:rsidRDefault="003B5939" w:rsidP="006E6FC6">
      <w:pPr>
        <w:jc w:val="both"/>
      </w:pPr>
    </w:p>
    <w:p w:rsidR="003B5939" w:rsidRPr="00646009" w:rsidRDefault="00FD5BC2" w:rsidP="006E6FC6">
      <w:pPr>
        <w:jc w:val="both"/>
      </w:pPr>
      <w:r w:rsidRPr="00646009">
        <w:t>La négociation du CPOM doit</w:t>
      </w:r>
      <w:r w:rsidR="003B5939" w:rsidRPr="00646009">
        <w:t xml:space="preserve"> également permettre au gestionnaire et à l’ARS de contractualiser sur la politique d’admission de l’</w:t>
      </w:r>
      <w:r w:rsidR="00DC5E39">
        <w:t>ESMS</w:t>
      </w:r>
      <w:r w:rsidR="003B5939" w:rsidRPr="00646009">
        <w:t xml:space="preserve">. </w:t>
      </w:r>
    </w:p>
    <w:p w:rsidR="003B5939" w:rsidRPr="00646009" w:rsidRDefault="00A33634" w:rsidP="006E6FC6">
      <w:pPr>
        <w:jc w:val="both"/>
      </w:pPr>
      <w:r w:rsidRPr="00646009">
        <w:t>Le gestionnaire s’engage à mettre en œuvre les objectifs et actions</w:t>
      </w:r>
      <w:r w:rsidR="003B5939" w:rsidRPr="00646009">
        <w:t xml:space="preserve"> s’inscrivant dans une logique d’inclusion de la personne en situation de handicap garantissant l’autonomie des personnes accompagnées.</w:t>
      </w:r>
    </w:p>
    <w:p w:rsidR="00EF7C1C" w:rsidRPr="000F5BC1" w:rsidRDefault="00EF7C1C" w:rsidP="00EF7C1C">
      <w:pPr>
        <w:jc w:val="both"/>
      </w:pPr>
      <w:r>
        <w:t xml:space="preserve">Le gestionnaire s’engage dans une démarche de promotion de la bientraitance et prévention de la maltraitance ainsi que dans le déploiement de dispositifs de signalement précoce en cas de situation de maltraitance. </w:t>
      </w:r>
    </w:p>
    <w:p w:rsidR="003B5939" w:rsidRDefault="003B5939" w:rsidP="006E6FC6">
      <w:pPr>
        <w:jc w:val="both"/>
      </w:pPr>
      <w:r w:rsidRPr="00646009">
        <w:t>Les objectifs et actions du CPOM concourront au respect du droit des usagers</w:t>
      </w:r>
      <w:r w:rsidR="00A33634" w:rsidRPr="00646009">
        <w:t xml:space="preserve"> par le biais de leur participation au projet institutionnel,</w:t>
      </w:r>
      <w:r w:rsidRPr="00646009">
        <w:t xml:space="preserve"> et en particulier</w:t>
      </w:r>
      <w:r w:rsidR="00A33634" w:rsidRPr="00646009">
        <w:t>,</w:t>
      </w:r>
      <w:r w:rsidRPr="00646009">
        <w:t xml:space="preserve"> à l’accès à la santé des personnes</w:t>
      </w:r>
      <w:r w:rsidR="004744D5" w:rsidRPr="00646009">
        <w:t xml:space="preserve"> </w:t>
      </w:r>
      <w:r w:rsidRPr="00646009">
        <w:t>en situation de handicap.</w:t>
      </w:r>
    </w:p>
    <w:p w:rsidR="0024076D" w:rsidRPr="00646009" w:rsidRDefault="00965D1E"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1.4</w:t>
      </w:r>
      <w:r w:rsidR="0024076D" w:rsidRPr="00646009">
        <w:rPr>
          <w:rFonts w:asciiTheme="minorHAnsi" w:hAnsiTheme="minorHAnsi"/>
          <w:sz w:val="22"/>
          <w:szCs w:val="22"/>
        </w:rPr>
        <w:t xml:space="preserve"> Coopérations territoriales</w:t>
      </w:r>
    </w:p>
    <w:p w:rsidR="0024076D" w:rsidRPr="00646009" w:rsidRDefault="0024076D" w:rsidP="006E6FC6">
      <w:pPr>
        <w:jc w:val="both"/>
      </w:pPr>
      <w:r w:rsidRPr="00646009">
        <w:t xml:space="preserve">L'optimisation des parcours </w:t>
      </w:r>
      <w:r w:rsidR="00EE1758" w:rsidRPr="00646009">
        <w:t>des personnes accompagnées</w:t>
      </w:r>
      <w:r w:rsidR="004744D5" w:rsidRPr="00646009">
        <w:t xml:space="preserve"> </w:t>
      </w:r>
      <w:r w:rsidRPr="00646009">
        <w:t>est un enjeu majeur du PRS.</w:t>
      </w:r>
    </w:p>
    <w:p w:rsidR="00FA1F3D" w:rsidRPr="00646009" w:rsidRDefault="0024076D" w:rsidP="006E6FC6">
      <w:pPr>
        <w:jc w:val="both"/>
      </w:pPr>
      <w:r w:rsidRPr="00646009">
        <w:t>Il impose une ouverture des établissements médico-sociaux</w:t>
      </w:r>
      <w:r w:rsidR="000E6B6D" w:rsidRPr="00646009">
        <w:t xml:space="preserve"> sur les territoires, un renforc</w:t>
      </w:r>
      <w:r w:rsidRPr="00646009">
        <w:t>ement de la qualité et de l’efficience ainsi qu’une exigence de coordination des acteurs dans le cadre d'une offre adaptée aux besoins des personnes accompagnées.</w:t>
      </w:r>
    </w:p>
    <w:p w:rsidR="0024076D" w:rsidRPr="00646009" w:rsidRDefault="00FA1F3D" w:rsidP="006E6FC6">
      <w:pPr>
        <w:jc w:val="both"/>
      </w:pPr>
      <w:r w:rsidRPr="00646009">
        <w:t>Il est attendu du gestionnaire qu’il puisse</w:t>
      </w:r>
      <w:r w:rsidR="0024076D" w:rsidRPr="00646009">
        <w:t xml:space="preserve"> identifier</w:t>
      </w:r>
      <w:r w:rsidR="000E6B6D" w:rsidRPr="00646009">
        <w:t xml:space="preserve"> les parcours de prise en charge</w:t>
      </w:r>
      <w:r w:rsidR="0024076D" w:rsidRPr="00646009">
        <w:t xml:space="preserve"> et</w:t>
      </w:r>
      <w:r w:rsidRPr="00646009">
        <w:t xml:space="preserve"> caractériser la façon dont son</w:t>
      </w:r>
      <w:r w:rsidR="0024076D" w:rsidRPr="00646009">
        <w:t xml:space="preserve"> offre d’accomp</w:t>
      </w:r>
      <w:r w:rsidRPr="00646009">
        <w:t xml:space="preserve">agnement y participe. Ainsi, les coopérations territoriales s’entendent, d’une part, entre les établissements du gestionnaire et, d’autre part, avec l’ensemble des </w:t>
      </w:r>
      <w:r w:rsidR="00C32446" w:rsidRPr="00646009">
        <w:t>acteurs partie</w:t>
      </w:r>
      <w:r w:rsidR="00195C7B" w:rsidRPr="00646009">
        <w:t>s</w:t>
      </w:r>
      <w:r w:rsidR="00C32446" w:rsidRPr="00646009">
        <w:t xml:space="preserve"> prenantes aux parcours identifiés.</w:t>
      </w:r>
    </w:p>
    <w:p w:rsidR="00B73100" w:rsidRDefault="0024076D" w:rsidP="006E6FC6">
      <w:pPr>
        <w:jc w:val="both"/>
      </w:pPr>
      <w:r w:rsidRPr="00646009">
        <w:t xml:space="preserve">Les objectifs </w:t>
      </w:r>
      <w:r w:rsidR="000E6B6D" w:rsidRPr="00646009">
        <w:t>et actions</w:t>
      </w:r>
      <w:r w:rsidR="00B73100" w:rsidRPr="00646009">
        <w:t xml:space="preserve"> en matière de coopération territoriale</w:t>
      </w:r>
      <w:r w:rsidR="000E6B6D" w:rsidRPr="00646009">
        <w:t xml:space="preserve"> </w:t>
      </w:r>
      <w:r w:rsidRPr="00646009">
        <w:t xml:space="preserve">seront déclinés dans les CPOM des différents partenaires de la coopération afin d'assurer une visibilité </w:t>
      </w:r>
      <w:r w:rsidR="0011201D" w:rsidRPr="00646009">
        <w:t xml:space="preserve">et un suivi </w:t>
      </w:r>
      <w:r w:rsidRPr="00646009">
        <w:t>des engagements mutuels</w:t>
      </w:r>
      <w:r w:rsidR="00EF7C1C" w:rsidRPr="00EF7C1C">
        <w:t xml:space="preserve"> </w:t>
      </w:r>
      <w:r w:rsidR="00EF7C1C">
        <w:t>et ainsi éviter les ruptures de parcours</w:t>
      </w:r>
      <w:r w:rsidRPr="00646009">
        <w:t>.</w:t>
      </w:r>
    </w:p>
    <w:p w:rsidR="00EF7C1C" w:rsidRPr="000F5BC1" w:rsidRDefault="00EF7C1C" w:rsidP="00EF7C1C">
      <w:pPr>
        <w:jc w:val="both"/>
      </w:pPr>
      <w:r>
        <w:t>Lorsqu’un ou plusieurs établissements et services couverts par le présent contrat sont rattachés à un établissement de santé signataire d’un CPOM prévu à l’article L. 6114-1 du Code de santé publique, celui-ci est mentionné dans le présent contrat et les parties signataires veillent à l’articulation et à la cohérence des engagements pris dans chacun des contrats, tout particulièrement en matière de parcours d’accompagnement et de partenariat.</w:t>
      </w:r>
    </w:p>
    <w:p w:rsidR="00330F19" w:rsidRDefault="00330F19" w:rsidP="006E6FC6">
      <w:pPr>
        <w:pStyle w:val="Sous-titre"/>
        <w:spacing w:before="360" w:after="240"/>
        <w:ind w:firstLine="708"/>
        <w:jc w:val="both"/>
        <w:rPr>
          <w:rFonts w:asciiTheme="minorHAnsi" w:hAnsiTheme="minorHAnsi"/>
          <w:sz w:val="22"/>
          <w:szCs w:val="22"/>
        </w:rPr>
      </w:pPr>
    </w:p>
    <w:p w:rsidR="00330F19" w:rsidRDefault="00330F19" w:rsidP="006E6FC6">
      <w:pPr>
        <w:pStyle w:val="Sous-titre"/>
        <w:spacing w:before="360" w:after="240"/>
        <w:ind w:firstLine="708"/>
        <w:jc w:val="both"/>
        <w:rPr>
          <w:rFonts w:asciiTheme="minorHAnsi" w:hAnsiTheme="minorHAnsi"/>
          <w:sz w:val="22"/>
          <w:szCs w:val="22"/>
        </w:rPr>
      </w:pPr>
    </w:p>
    <w:p w:rsidR="00A933F0" w:rsidRPr="00646009" w:rsidRDefault="00965D1E"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1.5</w:t>
      </w:r>
      <w:r w:rsidR="004744D5" w:rsidRPr="00646009">
        <w:rPr>
          <w:rFonts w:asciiTheme="minorHAnsi" w:hAnsiTheme="minorHAnsi"/>
          <w:sz w:val="22"/>
          <w:szCs w:val="22"/>
        </w:rPr>
        <w:t xml:space="preserve"> </w:t>
      </w:r>
      <w:r w:rsidR="00273254" w:rsidRPr="00646009">
        <w:rPr>
          <w:rFonts w:asciiTheme="minorHAnsi" w:hAnsiTheme="minorHAnsi"/>
          <w:sz w:val="22"/>
          <w:szCs w:val="22"/>
        </w:rPr>
        <w:t xml:space="preserve">Pilotage interne du ou des </w:t>
      </w:r>
      <w:r w:rsidR="003D696F">
        <w:rPr>
          <w:rFonts w:asciiTheme="minorHAnsi" w:hAnsiTheme="minorHAnsi"/>
          <w:sz w:val="22"/>
          <w:szCs w:val="22"/>
        </w:rPr>
        <w:t>ESMS</w:t>
      </w:r>
      <w:r w:rsidR="00273254" w:rsidRPr="00646009">
        <w:rPr>
          <w:rFonts w:asciiTheme="minorHAnsi" w:hAnsiTheme="minorHAnsi"/>
          <w:sz w:val="22"/>
          <w:szCs w:val="22"/>
        </w:rPr>
        <w:t xml:space="preserve"> du gestionnaire</w:t>
      </w:r>
    </w:p>
    <w:p w:rsidR="00EF7C1C" w:rsidRPr="00646009" w:rsidRDefault="00EF7C1C" w:rsidP="00CB4E7A">
      <w:pPr>
        <w:spacing w:before="240"/>
        <w:ind w:left="708" w:firstLine="708"/>
        <w:jc w:val="both"/>
        <w:rPr>
          <w:rStyle w:val="Emphaseple"/>
        </w:rPr>
      </w:pPr>
      <w:r>
        <w:rPr>
          <w:rStyle w:val="Emphaseple"/>
        </w:rPr>
        <w:t>A</w:t>
      </w:r>
      <w:r w:rsidRPr="00646009">
        <w:rPr>
          <w:rStyle w:val="Emphaseple"/>
        </w:rPr>
        <w:t>. Gouvernance</w:t>
      </w:r>
    </w:p>
    <w:p w:rsidR="00EF7C1C" w:rsidRDefault="00EF7C1C" w:rsidP="00EF7C1C">
      <w:pPr>
        <w:jc w:val="both"/>
      </w:pPr>
      <w:r w:rsidRPr="000F5BC1">
        <w:t xml:space="preserve">Dans le cadre </w:t>
      </w:r>
      <w:r>
        <w:t>du présent</w:t>
      </w:r>
      <w:r w:rsidRPr="000F5BC1">
        <w:t xml:space="preserve"> CPOM, une attention particulière sera portée à la gouvernance</w:t>
      </w:r>
      <w:r>
        <w:t xml:space="preserve"> du gestionnaire à l’égard du ou des établissements et services médico-sociaux</w:t>
      </w:r>
      <w:r w:rsidRPr="000F5BC1">
        <w:t>.</w:t>
      </w:r>
      <w:r>
        <w:t xml:space="preserve"> Les négociations portent notamment sur l’efficience de la gouvernance du gestionnaire.</w:t>
      </w:r>
    </w:p>
    <w:p w:rsidR="00200C99" w:rsidRPr="00646009" w:rsidRDefault="00EF7C1C" w:rsidP="00CB4E7A">
      <w:pPr>
        <w:spacing w:before="240"/>
        <w:ind w:left="708" w:firstLine="708"/>
        <w:jc w:val="both"/>
        <w:rPr>
          <w:rStyle w:val="Emphaseple"/>
        </w:rPr>
      </w:pPr>
      <w:r>
        <w:rPr>
          <w:rStyle w:val="Emphaseple"/>
        </w:rPr>
        <w:t>B</w:t>
      </w:r>
      <w:r w:rsidR="00200C99" w:rsidRPr="00646009">
        <w:rPr>
          <w:rStyle w:val="Emphaseple"/>
        </w:rPr>
        <w:t>. Ressources humaines</w:t>
      </w:r>
    </w:p>
    <w:p w:rsidR="00A933F0" w:rsidRPr="00646009" w:rsidRDefault="00A933F0" w:rsidP="006E6FC6">
      <w:pPr>
        <w:jc w:val="both"/>
      </w:pPr>
      <w:r w:rsidRPr="00646009">
        <w:t>Les enjeux d</w:t>
      </w:r>
      <w:r w:rsidR="001E5819" w:rsidRPr="00646009">
        <w:t xml:space="preserve">u pilotage interne du ou des </w:t>
      </w:r>
      <w:r w:rsidR="003D696F">
        <w:t>ESMS</w:t>
      </w:r>
      <w:r w:rsidR="001E5819" w:rsidRPr="00646009">
        <w:t xml:space="preserve"> du gestionnaire</w:t>
      </w:r>
      <w:r w:rsidR="004744D5" w:rsidRPr="00646009">
        <w:t xml:space="preserve"> </w:t>
      </w:r>
      <w:r w:rsidRPr="00646009">
        <w:t>sont primordiaux, aussi ce chapitre a pour objectif de donner à la politique de ressources humaines du gestionnaire une dimension stratégiqu</w:t>
      </w:r>
      <w:r w:rsidR="00AB0924">
        <w:t>e et prospective sur chacun de c</w:t>
      </w:r>
      <w:r w:rsidRPr="00646009">
        <w:t xml:space="preserve">es </w:t>
      </w:r>
      <w:r w:rsidR="00AB0924">
        <w:t>six</w:t>
      </w:r>
      <w:r w:rsidR="004011C0">
        <w:t xml:space="preserve"> </w:t>
      </w:r>
      <w:r w:rsidRPr="00646009">
        <w:t>axes :</w:t>
      </w:r>
      <w:r w:rsidR="001E5819" w:rsidRPr="00646009">
        <w:t xml:space="preserve"> g</w:t>
      </w:r>
      <w:r w:rsidRPr="00646009">
        <w:t>estion prévisionnelle des</w:t>
      </w:r>
      <w:r w:rsidR="001E5819" w:rsidRPr="00646009">
        <w:t xml:space="preserve"> emplois métiers et compétences, g</w:t>
      </w:r>
      <w:r w:rsidRPr="00646009">
        <w:t>estion du temps et de la disponibilité des ressources humaines</w:t>
      </w:r>
      <w:r w:rsidR="001E5819" w:rsidRPr="00646009">
        <w:t>, g</w:t>
      </w:r>
      <w:r w:rsidRPr="00646009">
        <w:t>estion de la masse salariale</w:t>
      </w:r>
      <w:r w:rsidR="001E5819" w:rsidRPr="00646009">
        <w:t>, d</w:t>
      </w:r>
      <w:r w:rsidRPr="00646009">
        <w:t>ialogue social</w:t>
      </w:r>
      <w:r w:rsidR="001E5819" w:rsidRPr="00646009">
        <w:t>, f</w:t>
      </w:r>
      <w:r w:rsidR="007624EC" w:rsidRPr="00646009">
        <w:t>ormation et qualification</w:t>
      </w:r>
      <w:r w:rsidR="001E5819" w:rsidRPr="00646009">
        <w:t>, s</w:t>
      </w:r>
      <w:r w:rsidRPr="00646009">
        <w:t>anté et sécurité au travail.</w:t>
      </w:r>
    </w:p>
    <w:p w:rsidR="00F8444C" w:rsidRDefault="00200C99" w:rsidP="006E6FC6">
      <w:pPr>
        <w:jc w:val="both"/>
      </w:pPr>
      <w:r w:rsidRPr="00646009">
        <w:t>L</w:t>
      </w:r>
      <w:r w:rsidR="00A933F0" w:rsidRPr="00646009">
        <w:t>es objectifs afférents à la politique de ressources humaines seront déterminés après négociation entre le gestionnaire et l’ARS.</w:t>
      </w:r>
    </w:p>
    <w:p w:rsidR="00200C99" w:rsidRPr="00646009" w:rsidRDefault="00096A23" w:rsidP="00CB4E7A">
      <w:pPr>
        <w:spacing w:before="240"/>
        <w:ind w:left="708" w:firstLine="708"/>
        <w:jc w:val="both"/>
        <w:rPr>
          <w:rStyle w:val="Emphaseple"/>
        </w:rPr>
      </w:pPr>
      <w:r w:rsidRPr="00646009">
        <w:rPr>
          <w:rStyle w:val="Emphaseple"/>
        </w:rPr>
        <w:t>C. Situation patrimoniale</w:t>
      </w:r>
      <w:r w:rsidR="00AB0924">
        <w:rPr>
          <w:rStyle w:val="Emphaseple"/>
        </w:rPr>
        <w:t xml:space="preserve"> et financière</w:t>
      </w:r>
    </w:p>
    <w:p w:rsidR="00172FBA" w:rsidRDefault="00172FBA" w:rsidP="00172FBA">
      <w:pPr>
        <w:jc w:val="both"/>
        <w:rPr>
          <w:rFonts w:eastAsia="PMingLiU" w:cs="Arial"/>
          <w:bCs/>
          <w:lang w:eastAsia="zh-TW" w:bidi="hi-IN"/>
        </w:rPr>
      </w:pPr>
      <w:r>
        <w:t xml:space="preserve">Le gestionnaire s’engage à assurer une gestion équilibrée afin de pérenniser le fonctionnement de la structure. </w:t>
      </w:r>
      <w:r>
        <w:rPr>
          <w:rFonts w:eastAsia="PMingLiU" w:cs="Arial"/>
          <w:bCs/>
          <w:lang w:eastAsia="zh-TW" w:bidi="hi-IN"/>
        </w:rPr>
        <w:t>Le présent CPOM pourra intégrer un contrat de retour à l’équilibre si la situation financière du gestionnaire l’exige.</w:t>
      </w:r>
    </w:p>
    <w:p w:rsidR="00AB0924" w:rsidRDefault="00AB0924" w:rsidP="00AB0924">
      <w:pPr>
        <w:jc w:val="both"/>
        <w:rPr>
          <w:i/>
        </w:rPr>
      </w:pPr>
      <w:r>
        <w:t>L</w:t>
      </w:r>
      <w:r w:rsidRPr="000F5BC1">
        <w:t xml:space="preserve">a gestion du patrimoine des </w:t>
      </w:r>
      <w:r>
        <w:t>ESMS</w:t>
      </w:r>
      <w:r w:rsidRPr="000F5BC1">
        <w:t xml:space="preserve"> doit s’adapter aux évolutions des besoins et des techniques d’accompagnement des personnes en situation de handicap et ainsi faire l’objet d’un suivi particulier.</w:t>
      </w:r>
      <w:r w:rsidRPr="00A06BB2">
        <w:t xml:space="preserve"> </w:t>
      </w:r>
      <w:r>
        <w:t>Le gestionnaire veillera notamment à respecter les normes en vigueur en matière de sécurité et d’accessibilité des personnes accueillies.</w:t>
      </w:r>
    </w:p>
    <w:p w:rsidR="0037285B" w:rsidRDefault="0037285B" w:rsidP="006E6FC6">
      <w:pPr>
        <w:jc w:val="both"/>
      </w:pPr>
      <w:r w:rsidRPr="00AB0924">
        <w:t xml:space="preserve">Le gestionnaire </w:t>
      </w:r>
      <w:r w:rsidR="00AB0924">
        <w:t xml:space="preserve">d’ESMS </w:t>
      </w:r>
      <w:r w:rsidRPr="00AB0924">
        <w:t xml:space="preserve">s’attachera à </w:t>
      </w:r>
      <w:r w:rsidR="003125B9" w:rsidRPr="00AB0924">
        <w:t xml:space="preserve">décliner </w:t>
      </w:r>
      <w:r w:rsidRPr="00AB0924">
        <w:t xml:space="preserve">les </w:t>
      </w:r>
      <w:r w:rsidR="003125B9" w:rsidRPr="00AB0924">
        <w:t xml:space="preserve">projets immobiliers </w:t>
      </w:r>
      <w:r w:rsidR="00BB71F9" w:rsidRPr="00AB0924">
        <w:t xml:space="preserve">significatifs </w:t>
      </w:r>
      <w:r w:rsidRPr="00AB0924">
        <w:t>envisagés sur les cinq années du contrat</w:t>
      </w:r>
      <w:r w:rsidR="009B561D" w:rsidRPr="00AB0924">
        <w:t xml:space="preserve"> ainsi que les solutions prévues pour résoudre d’éventuelles problématiques liées au patrimoine (sécurité incendie, etc.).</w:t>
      </w:r>
    </w:p>
    <w:p w:rsidR="00172FBA" w:rsidRDefault="00172FBA" w:rsidP="00172FBA">
      <w:pPr>
        <w:jc w:val="both"/>
      </w:pPr>
      <w:r w:rsidRPr="00172FBA">
        <w:t>Le plan pluriannuel d’investissement (PPI) annexé au présent contrat est approuvé conformément aux dispositions de l’art. R.314-20 du CASF. Son exécution fera l’objet d’un suivi dans le cadre des dialogues de gestion.</w:t>
      </w:r>
      <w:r>
        <w:t xml:space="preserve"> </w:t>
      </w:r>
    </w:p>
    <w:p w:rsidR="00AB0924" w:rsidRPr="00A06BB2" w:rsidRDefault="00AB0924" w:rsidP="00AB0924">
      <w:pPr>
        <w:jc w:val="both"/>
        <w:rPr>
          <w:i/>
          <w:color w:val="1F497D" w:themeColor="text2"/>
        </w:rPr>
      </w:pPr>
      <w:r w:rsidRPr="00A06BB2">
        <w:rPr>
          <w:i/>
          <w:color w:val="1F497D" w:themeColor="text2"/>
        </w:rPr>
        <w:t>Des précisions quant à la situation financière du gestionnaire peuvent être incluses au sein de cette partie.</w:t>
      </w:r>
    </w:p>
    <w:p w:rsidR="00AB0924" w:rsidRPr="00CB4E7A" w:rsidRDefault="00AB0924" w:rsidP="00CB4E7A">
      <w:pPr>
        <w:spacing w:before="240"/>
        <w:ind w:left="708" w:firstLine="708"/>
        <w:jc w:val="both"/>
        <w:rPr>
          <w:rStyle w:val="Emphaseple"/>
        </w:rPr>
      </w:pPr>
      <w:r w:rsidRPr="00CB4E7A">
        <w:rPr>
          <w:rStyle w:val="Emphaseple"/>
        </w:rPr>
        <w:t>D. Optimisation de la gestion des prestations</w:t>
      </w:r>
    </w:p>
    <w:p w:rsidR="00AB0924" w:rsidRPr="00353EE4" w:rsidRDefault="00AB0924" w:rsidP="00AB0924">
      <w:pPr>
        <w:suppressAutoHyphens/>
        <w:jc w:val="both"/>
        <w:rPr>
          <w:rFonts w:eastAsia="SimSun" w:cs="font332"/>
          <w:kern w:val="1"/>
          <w:lang w:eastAsia="ar-SA"/>
        </w:rPr>
      </w:pPr>
      <w:r w:rsidRPr="00353EE4">
        <w:rPr>
          <w:rFonts w:eastAsia="SimSun" w:cs="font332"/>
          <w:kern w:val="1"/>
          <w:lang w:eastAsia="ar-SA"/>
        </w:rPr>
        <w:t>Le gestionnaire s’engage à rechercher le meilleur rapport qualité/coût des différentes prestations dont il a la charge, et d’effectuer les démarches nécessaires pour regrouper et/ou mutualiser autant que faire se peut les moyens et les achats.</w:t>
      </w:r>
    </w:p>
    <w:p w:rsidR="00AB0924" w:rsidRDefault="00AB0924" w:rsidP="00AB0924">
      <w:pPr>
        <w:jc w:val="both"/>
      </w:pPr>
      <w:r>
        <w:lastRenderedPageBreak/>
        <w:t>L</w:t>
      </w:r>
      <w:r w:rsidRPr="00646009">
        <w:t xml:space="preserve">a mise en œuvre d’une stratégie d’optimisation des achats et des transports constitue un levier majeur de performance et d’efficience des </w:t>
      </w:r>
      <w:r>
        <w:t>ESMS. A</w:t>
      </w:r>
      <w:r w:rsidRPr="00646009">
        <w:t>ussi la négociation du CPOM permettra d’établir des objectifs en la matière.</w:t>
      </w:r>
    </w:p>
    <w:p w:rsidR="00AB0924" w:rsidRPr="00A06BB2" w:rsidRDefault="00AB0924" w:rsidP="00CB4E7A">
      <w:pPr>
        <w:spacing w:before="240"/>
        <w:ind w:left="708" w:firstLine="708"/>
        <w:jc w:val="both"/>
        <w:rPr>
          <w:rStyle w:val="Emphaseple"/>
        </w:rPr>
      </w:pPr>
      <w:r>
        <w:rPr>
          <w:rStyle w:val="Emphaseple"/>
        </w:rPr>
        <w:t>E</w:t>
      </w:r>
      <w:r w:rsidRPr="00A06BB2">
        <w:rPr>
          <w:rStyle w:val="Emphaseple"/>
        </w:rPr>
        <w:t>. Système d’information et dématérialisation au sein des ESMS</w:t>
      </w:r>
    </w:p>
    <w:p w:rsidR="00AB0924" w:rsidRDefault="00AB0924" w:rsidP="00AB0924">
      <w:pPr>
        <w:jc w:val="both"/>
        <w:rPr>
          <w:rStyle w:val="Emphaseple1"/>
          <w:i w:val="0"/>
          <w:color w:val="00000A"/>
        </w:rPr>
      </w:pPr>
      <w:r>
        <w:rPr>
          <w:rStyle w:val="Emphaseple1"/>
          <w:i w:val="0"/>
          <w:color w:val="00000A"/>
        </w:rPr>
        <w:t>Le gestionnaire veillera à disposer d’un système d’information adapté au pilotage de ses activités, en privilégiant la dématérialisation des échanges de données. Le gestionnaire portera une attention particulière à l’informatisation des dossiers de soins individualisés, au déploiement des nouvelles technologies au profit des personnes accompagnées ainsi qu’aux logiciels métiers.</w:t>
      </w:r>
    </w:p>
    <w:p w:rsidR="001D4BBE" w:rsidRPr="00CB4E7A" w:rsidRDefault="000D2734" w:rsidP="00CB4E7A">
      <w:pPr>
        <w:pStyle w:val="Titre1"/>
      </w:pPr>
      <w:bookmarkStart w:id="3" w:name="_Toc494049534"/>
      <w:r w:rsidRPr="00CB4E7A">
        <w:t>ARTICLE 2</w:t>
      </w:r>
      <w:r w:rsidR="00CB4E7A">
        <w:t xml:space="preserve"> – </w:t>
      </w:r>
      <w:r w:rsidR="001D4BBE" w:rsidRPr="00CB4E7A">
        <w:t>PRESENTATION DU GESTIONNAIRE</w:t>
      </w:r>
      <w:bookmarkEnd w:id="3"/>
      <w:r w:rsidR="001D4BBE" w:rsidRPr="00CB4E7A">
        <w:t xml:space="preserve"> </w:t>
      </w:r>
    </w:p>
    <w:p w:rsidR="007624EC" w:rsidRPr="00646009" w:rsidRDefault="007624EC"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2.1 Orientations stratégiques du gestionnaire</w:t>
      </w:r>
    </w:p>
    <w:p w:rsidR="007624EC" w:rsidRPr="00940605" w:rsidRDefault="007624EC" w:rsidP="00940605">
      <w:pPr>
        <w:pStyle w:val="Sous-titre"/>
        <w:jc w:val="both"/>
        <w:rPr>
          <w:rFonts w:asciiTheme="minorHAnsi" w:hAnsiTheme="minorHAnsi"/>
          <w:color w:val="1F497D" w:themeColor="text2"/>
          <w:spacing w:val="0"/>
          <w:sz w:val="22"/>
          <w:szCs w:val="22"/>
        </w:rPr>
      </w:pPr>
      <w:r w:rsidRPr="00940605">
        <w:rPr>
          <w:rFonts w:asciiTheme="minorHAnsi" w:hAnsiTheme="minorHAnsi"/>
          <w:color w:val="1F497D" w:themeColor="text2"/>
          <w:spacing w:val="0"/>
          <w:sz w:val="22"/>
          <w:szCs w:val="22"/>
        </w:rPr>
        <w:t>Présentation synthétique par le gestionnaire en 10-15 lignes maximum</w:t>
      </w:r>
      <w:r w:rsidR="00C376C0" w:rsidRPr="00940605">
        <w:rPr>
          <w:rFonts w:asciiTheme="minorHAnsi" w:hAnsiTheme="minorHAnsi"/>
          <w:color w:val="1F497D" w:themeColor="text2"/>
          <w:spacing w:val="0"/>
          <w:sz w:val="22"/>
          <w:szCs w:val="22"/>
        </w:rPr>
        <w:t>.</w:t>
      </w:r>
    </w:p>
    <w:p w:rsidR="005237F0" w:rsidRPr="00940605" w:rsidRDefault="005237F0" w:rsidP="006E6FC6">
      <w:pPr>
        <w:jc w:val="both"/>
      </w:pPr>
    </w:p>
    <w:p w:rsidR="001D4BBE" w:rsidRPr="00646009" w:rsidRDefault="007624EC"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2.2</w:t>
      </w:r>
      <w:r w:rsidR="001B2053" w:rsidRPr="00646009">
        <w:rPr>
          <w:rFonts w:asciiTheme="minorHAnsi" w:hAnsiTheme="minorHAnsi"/>
          <w:sz w:val="22"/>
          <w:szCs w:val="22"/>
        </w:rPr>
        <w:t xml:space="preserve"> </w:t>
      </w:r>
      <w:r w:rsidR="001D4BBE" w:rsidRPr="00646009">
        <w:rPr>
          <w:rFonts w:asciiTheme="minorHAnsi" w:hAnsiTheme="minorHAnsi"/>
          <w:sz w:val="22"/>
          <w:szCs w:val="22"/>
        </w:rPr>
        <w:t>Carte d’identité du gestionnaire :</w:t>
      </w:r>
    </w:p>
    <w:p w:rsidR="006C6D7D" w:rsidRDefault="006C6D7D" w:rsidP="006C6D7D">
      <w:pPr>
        <w:pStyle w:val="Default"/>
        <w:spacing w:after="120" w:line="276" w:lineRule="auto"/>
        <w:jc w:val="both"/>
        <w:rPr>
          <w:rFonts w:asciiTheme="minorHAnsi" w:hAnsiTheme="minorHAnsi"/>
          <w:color w:val="auto"/>
          <w:sz w:val="22"/>
          <w:szCs w:val="22"/>
        </w:rPr>
      </w:pPr>
    </w:p>
    <w:p w:rsidR="006C6D7D" w:rsidRDefault="006C6D7D" w:rsidP="006C6D7D">
      <w:pPr>
        <w:pStyle w:val="Default"/>
        <w:spacing w:after="120" w:line="276" w:lineRule="auto"/>
        <w:jc w:val="both"/>
        <w:rPr>
          <w:rFonts w:asciiTheme="minorHAnsi" w:hAnsiTheme="minorHAnsi"/>
          <w:i/>
          <w:color w:val="1F497D" w:themeColor="text2"/>
          <w:sz w:val="22"/>
          <w:szCs w:val="22"/>
        </w:rPr>
      </w:pPr>
      <w:r>
        <w:rPr>
          <w:rFonts w:asciiTheme="minorHAnsi" w:hAnsiTheme="minorHAnsi"/>
          <w:i/>
          <w:color w:val="1F497D" w:themeColor="text2"/>
          <w:sz w:val="22"/>
          <w:szCs w:val="22"/>
        </w:rPr>
        <w:t>Indiquer expressément :</w:t>
      </w:r>
    </w:p>
    <w:p w:rsidR="001D4BBE" w:rsidRPr="006C6D7D" w:rsidRDefault="006C6D7D" w:rsidP="006E6FC6">
      <w:pPr>
        <w:pStyle w:val="Default"/>
        <w:numPr>
          <w:ilvl w:val="0"/>
          <w:numId w:val="26"/>
        </w:numPr>
        <w:spacing w:after="120" w:line="276" w:lineRule="auto"/>
        <w:jc w:val="both"/>
        <w:rPr>
          <w:rFonts w:asciiTheme="minorHAnsi" w:hAnsiTheme="minorHAnsi"/>
          <w:i/>
          <w:color w:val="1F497D" w:themeColor="text2"/>
          <w:sz w:val="22"/>
          <w:szCs w:val="22"/>
        </w:rPr>
      </w:pPr>
      <w:r w:rsidRPr="006C6D7D">
        <w:rPr>
          <w:rFonts w:asciiTheme="minorHAnsi" w:hAnsiTheme="minorHAnsi"/>
          <w:i/>
          <w:color w:val="1F497D" w:themeColor="text2"/>
          <w:sz w:val="22"/>
          <w:szCs w:val="22"/>
        </w:rPr>
        <w:t>Numéro FINESS et s</w:t>
      </w:r>
      <w:r w:rsidR="001D4BBE" w:rsidRPr="006C6D7D">
        <w:rPr>
          <w:rFonts w:asciiTheme="minorHAnsi" w:hAnsiTheme="minorHAnsi"/>
          <w:i/>
          <w:color w:val="1F497D" w:themeColor="text2"/>
          <w:sz w:val="22"/>
          <w:szCs w:val="22"/>
        </w:rPr>
        <w:t>tatut juridique</w:t>
      </w:r>
      <w:r w:rsidRPr="006C6D7D">
        <w:rPr>
          <w:rFonts w:asciiTheme="minorHAnsi" w:hAnsiTheme="minorHAnsi"/>
          <w:i/>
          <w:color w:val="1F497D" w:themeColor="text2"/>
          <w:sz w:val="22"/>
          <w:szCs w:val="22"/>
        </w:rPr>
        <w:t xml:space="preserve"> du gestionnaire</w:t>
      </w:r>
      <w:r w:rsidR="001D4BBE" w:rsidRPr="006C6D7D">
        <w:rPr>
          <w:rFonts w:asciiTheme="minorHAnsi" w:hAnsiTheme="minorHAnsi"/>
          <w:i/>
          <w:color w:val="1F497D" w:themeColor="text2"/>
          <w:sz w:val="22"/>
          <w:szCs w:val="22"/>
        </w:rPr>
        <w:t> : public rattaché, public autonome, privé non lucratif</w:t>
      </w:r>
      <w:r w:rsidR="00F96CC4" w:rsidRPr="006C6D7D">
        <w:rPr>
          <w:rFonts w:asciiTheme="minorHAnsi" w:hAnsiTheme="minorHAnsi"/>
          <w:i/>
          <w:color w:val="1F497D" w:themeColor="text2"/>
          <w:sz w:val="22"/>
          <w:szCs w:val="22"/>
        </w:rPr>
        <w:t xml:space="preserve"> (associatif, mutualiste, autre)</w:t>
      </w:r>
      <w:r w:rsidR="00C376C0" w:rsidRPr="006C6D7D">
        <w:rPr>
          <w:rFonts w:asciiTheme="minorHAnsi" w:hAnsiTheme="minorHAnsi"/>
          <w:i/>
          <w:color w:val="1F497D" w:themeColor="text2"/>
          <w:sz w:val="22"/>
          <w:szCs w:val="22"/>
        </w:rPr>
        <w:t>.</w:t>
      </w:r>
    </w:p>
    <w:p w:rsidR="003B5939" w:rsidRPr="006C6D7D" w:rsidRDefault="001D4BBE" w:rsidP="006E6FC6">
      <w:pPr>
        <w:pStyle w:val="Default"/>
        <w:numPr>
          <w:ilvl w:val="0"/>
          <w:numId w:val="26"/>
        </w:numPr>
        <w:spacing w:after="120" w:line="276" w:lineRule="auto"/>
        <w:jc w:val="both"/>
        <w:rPr>
          <w:rFonts w:asciiTheme="minorHAnsi" w:hAnsiTheme="minorHAnsi"/>
          <w:i/>
          <w:color w:val="1F497D" w:themeColor="text2"/>
          <w:sz w:val="22"/>
          <w:szCs w:val="22"/>
        </w:rPr>
      </w:pPr>
      <w:r w:rsidRPr="006C6D7D">
        <w:rPr>
          <w:rFonts w:asciiTheme="minorHAnsi" w:hAnsiTheme="minorHAnsi"/>
          <w:i/>
          <w:color w:val="1F497D" w:themeColor="text2"/>
          <w:sz w:val="22"/>
          <w:szCs w:val="22"/>
        </w:rPr>
        <w:t>Modalités d’organisation du gestionnaire (instances, existence d’un siège…).</w:t>
      </w:r>
    </w:p>
    <w:p w:rsidR="00646009" w:rsidRPr="00646009" w:rsidRDefault="00646009" w:rsidP="006E6FC6">
      <w:pPr>
        <w:pStyle w:val="Default"/>
        <w:spacing w:after="120" w:line="276" w:lineRule="auto"/>
        <w:jc w:val="both"/>
        <w:rPr>
          <w:rFonts w:asciiTheme="minorHAnsi" w:hAnsiTheme="minorHAnsi"/>
          <w:color w:val="auto"/>
          <w:sz w:val="22"/>
          <w:szCs w:val="22"/>
        </w:rPr>
      </w:pPr>
    </w:p>
    <w:p w:rsidR="005237F0" w:rsidRDefault="001D4BBE"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Activités du gestionnaire :</w:t>
      </w:r>
    </w:p>
    <w:tbl>
      <w:tblPr>
        <w:tblW w:w="9547" w:type="dxa"/>
        <w:tblLayout w:type="fixed"/>
        <w:tblLook w:val="0000" w:firstRow="0" w:lastRow="0" w:firstColumn="0" w:lastColumn="0" w:noHBand="0" w:noVBand="0"/>
      </w:tblPr>
      <w:tblGrid>
        <w:gridCol w:w="2235"/>
        <w:gridCol w:w="963"/>
        <w:gridCol w:w="2608"/>
        <w:gridCol w:w="1473"/>
        <w:gridCol w:w="1134"/>
        <w:gridCol w:w="1134"/>
      </w:tblGrid>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Secteur d’intervention</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Départe-ment</w:t>
            </w: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Catégorie et raison sociale de l’établissement ou service</w:t>
            </w: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Date de 1</w:t>
            </w:r>
            <w:r w:rsidRPr="00172FBA">
              <w:rPr>
                <w:rFonts w:ascii="Calibri" w:hAnsi="Calibri"/>
                <w:b/>
                <w:color w:val="00000A"/>
                <w:sz w:val="22"/>
                <w:szCs w:val="22"/>
              </w:rPr>
              <w:t>ère</w:t>
            </w:r>
            <w:r>
              <w:rPr>
                <w:rFonts w:ascii="Calibri" w:hAnsi="Calibri"/>
                <w:b/>
                <w:color w:val="00000A"/>
                <w:sz w:val="22"/>
                <w:szCs w:val="22"/>
              </w:rPr>
              <w:t xml:space="preserve"> autorisation et date de renouvelle-ment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Capacité autorisée</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Default="00172FBA" w:rsidP="00172FBA">
            <w:pPr>
              <w:pStyle w:val="Default"/>
              <w:jc w:val="center"/>
              <w:rPr>
                <w:rFonts w:ascii="Calibri" w:hAnsi="Calibri"/>
                <w:b/>
                <w:color w:val="00000A"/>
                <w:sz w:val="22"/>
                <w:szCs w:val="22"/>
              </w:rPr>
            </w:pPr>
            <w:r>
              <w:rPr>
                <w:rFonts w:ascii="Calibri" w:hAnsi="Calibri"/>
                <w:b/>
                <w:color w:val="00000A"/>
                <w:sz w:val="22"/>
                <w:szCs w:val="22"/>
              </w:rPr>
              <w:t>Capacité installée et financée</w:t>
            </w: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rPr>
                <w:rFonts w:ascii="Calibri" w:hAnsi="Calibri"/>
                <w:color w:val="00000A"/>
                <w:sz w:val="22"/>
                <w:szCs w:val="22"/>
              </w:rPr>
            </w:pPr>
            <w:r w:rsidRPr="00172FBA">
              <w:rPr>
                <w:rFonts w:ascii="Calibri" w:hAnsi="Calibri"/>
                <w:color w:val="00000A"/>
                <w:sz w:val="22"/>
                <w:szCs w:val="22"/>
              </w:rPr>
              <w:t>Handicap (adulte)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rPr>
                <w:rFonts w:ascii="Calibri" w:hAnsi="Calibri"/>
                <w:color w:val="00000A"/>
                <w:sz w:val="22"/>
                <w:szCs w:val="22"/>
              </w:rPr>
            </w:pPr>
            <w:r w:rsidRPr="00172FBA">
              <w:rPr>
                <w:rFonts w:ascii="Calibri" w:hAnsi="Calibri"/>
                <w:color w:val="00000A"/>
                <w:sz w:val="22"/>
                <w:szCs w:val="22"/>
              </w:rPr>
              <w:t>Handicap (enfance)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ind w:right="-161"/>
              <w:rPr>
                <w:rFonts w:ascii="Calibri" w:hAnsi="Calibri"/>
                <w:color w:val="00000A"/>
                <w:sz w:val="22"/>
                <w:szCs w:val="22"/>
              </w:rPr>
            </w:pPr>
            <w:r w:rsidRPr="00172FBA">
              <w:rPr>
                <w:rFonts w:ascii="Calibri" w:hAnsi="Calibri"/>
                <w:color w:val="00000A"/>
                <w:sz w:val="22"/>
                <w:szCs w:val="22"/>
              </w:rPr>
              <w:t>Protection de l’enfance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rPr>
                <w:rFonts w:ascii="Calibri" w:hAnsi="Calibri"/>
                <w:color w:val="00000A"/>
                <w:sz w:val="22"/>
                <w:szCs w:val="22"/>
              </w:rPr>
            </w:pPr>
            <w:r w:rsidRPr="00172FBA">
              <w:rPr>
                <w:rFonts w:ascii="Calibri" w:hAnsi="Calibri"/>
                <w:color w:val="00000A"/>
                <w:sz w:val="22"/>
                <w:szCs w:val="22"/>
              </w:rPr>
              <w:t>Inclusion sociale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rPr>
                <w:rFonts w:ascii="Calibri" w:hAnsi="Calibri"/>
                <w:color w:val="00000A"/>
                <w:sz w:val="22"/>
                <w:szCs w:val="22"/>
              </w:rPr>
            </w:pPr>
            <w:r w:rsidRPr="00172FBA">
              <w:rPr>
                <w:rFonts w:ascii="Calibri" w:hAnsi="Calibri"/>
                <w:color w:val="00000A"/>
                <w:sz w:val="22"/>
                <w:szCs w:val="22"/>
              </w:rPr>
              <w:t>Secteur sanitaire</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rPr>
                <w:rFonts w:ascii="Calibri" w:hAnsi="Calibri"/>
                <w:color w:val="00000A"/>
                <w:sz w:val="22"/>
                <w:szCs w:val="22"/>
              </w:rPr>
            </w:pPr>
            <w:r w:rsidRPr="00172FBA">
              <w:rPr>
                <w:rFonts w:ascii="Calibri" w:hAnsi="Calibri"/>
                <w:color w:val="00000A"/>
                <w:sz w:val="22"/>
                <w:szCs w:val="22"/>
              </w:rPr>
              <w:t>Publics spécifiques</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r>
      <w:tr w:rsidR="00172FBA" w:rsidTr="00172FBA">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ind w:right="-161"/>
              <w:rPr>
                <w:rFonts w:ascii="Calibri" w:hAnsi="Calibri"/>
                <w:color w:val="00000A"/>
                <w:sz w:val="22"/>
                <w:szCs w:val="22"/>
              </w:rPr>
            </w:pPr>
            <w:r w:rsidRPr="00172FBA">
              <w:rPr>
                <w:rFonts w:ascii="Calibri" w:hAnsi="Calibri"/>
                <w:color w:val="00000A"/>
                <w:sz w:val="22"/>
                <w:szCs w:val="22"/>
              </w:rPr>
              <w:t>Autre activité non soumise à autorisation</w:t>
            </w:r>
          </w:p>
        </w:tc>
        <w:tc>
          <w:tcPr>
            <w:tcW w:w="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2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72FBA" w:rsidRPr="00172FBA" w:rsidRDefault="00172FBA" w:rsidP="00172FBA">
            <w:pPr>
              <w:pStyle w:val="Default"/>
              <w:jc w:val="center"/>
              <w:rPr>
                <w:rFonts w:ascii="Calibri" w:hAnsi="Calibri"/>
                <w:b/>
                <w:color w:val="00000A"/>
                <w:sz w:val="22"/>
                <w:szCs w:val="22"/>
              </w:rPr>
            </w:pPr>
          </w:p>
        </w:tc>
        <w:tc>
          <w:tcPr>
            <w:tcW w:w="147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72FBA" w:rsidRPr="00172FBA" w:rsidRDefault="00172FBA" w:rsidP="00172FBA">
            <w:pPr>
              <w:pStyle w:val="Default"/>
              <w:jc w:val="center"/>
              <w:rPr>
                <w:rFonts w:ascii="Calibri" w:hAnsi="Calibri"/>
                <w:b/>
                <w:color w:val="00000A"/>
                <w:sz w:val="22"/>
                <w:szCs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72FBA" w:rsidRPr="00172FBA" w:rsidRDefault="00172FBA" w:rsidP="00172FBA">
            <w:pPr>
              <w:pStyle w:val="Default"/>
              <w:jc w:val="center"/>
              <w:rPr>
                <w:rFonts w:ascii="Calibri" w:hAnsi="Calibri"/>
                <w:b/>
                <w:color w:val="00000A"/>
                <w:sz w:val="22"/>
                <w:szCs w:val="22"/>
              </w:rPr>
            </w:pPr>
          </w:p>
        </w:tc>
      </w:tr>
    </w:tbl>
    <w:p w:rsidR="001D4BBE" w:rsidRDefault="000D2734" w:rsidP="00CB4E7A">
      <w:pPr>
        <w:pStyle w:val="Titre1"/>
      </w:pPr>
      <w:bookmarkStart w:id="4" w:name="_Toc494049535"/>
      <w:r w:rsidRPr="00CB4E7A">
        <w:lastRenderedPageBreak/>
        <w:t>ARTICLE 3</w:t>
      </w:r>
      <w:r w:rsidR="00CB4E7A">
        <w:t xml:space="preserve"> – </w:t>
      </w:r>
      <w:r w:rsidR="001D4BBE" w:rsidRPr="00CB4E7A">
        <w:t>CHAMP COUVERT PAR LE CONTRAT</w:t>
      </w:r>
      <w:bookmarkEnd w:id="4"/>
    </w:p>
    <w:p w:rsidR="00882D3E" w:rsidRDefault="00882D3E" w:rsidP="00882D3E">
      <w:pPr>
        <w:jc w:val="both"/>
      </w:pPr>
      <w:r>
        <w:t>Le gestionnaire présente :</w:t>
      </w:r>
    </w:p>
    <w:p w:rsidR="00882D3E" w:rsidRDefault="00882D3E" w:rsidP="00882D3E">
      <w:pPr>
        <w:numPr>
          <w:ilvl w:val="0"/>
          <w:numId w:val="38"/>
        </w:numPr>
        <w:suppressAutoHyphens/>
        <w:jc w:val="both"/>
      </w:pPr>
      <w:r>
        <w:t>les autorisations d’activité liées au contrat ;</w:t>
      </w:r>
    </w:p>
    <w:p w:rsidR="00882D3E" w:rsidRPr="0041600B" w:rsidRDefault="00882D3E" w:rsidP="00882D3E">
      <w:pPr>
        <w:numPr>
          <w:ilvl w:val="0"/>
          <w:numId w:val="38"/>
        </w:numPr>
        <w:suppressAutoHyphens/>
        <w:jc w:val="both"/>
      </w:pPr>
      <w:r>
        <w:t>les projets de restructuration ou de transformation de l’offre prévus susceptibles d’entraîner en cours de contrat des modifications dans la nature et le nombre des autorisations concernées par le CPOM, en particulier s’il s’agit d’opérations de transformation exonérées d’appel à projet</w:t>
      </w:r>
      <w:r w:rsidR="004011C0">
        <w:t>s</w:t>
      </w:r>
      <w:r>
        <w:t xml:space="preserve"> sous couvert de la signature d’un CPOM</w:t>
      </w:r>
      <w:r w:rsidR="0075146D">
        <w:t xml:space="preserve">. </w:t>
      </w:r>
      <w:r w:rsidR="0075146D" w:rsidRPr="0041600B">
        <w:t xml:space="preserve">Seules les </w:t>
      </w:r>
      <w:r w:rsidR="0041600B" w:rsidRPr="0041600B">
        <w:t xml:space="preserve">évolutions amenant à de nouveaux objectifs qualitatifs ou à la mobilisation de moyens spécifiques devront donner lieu à </w:t>
      </w:r>
      <w:r w:rsidR="0075146D" w:rsidRPr="0041600B">
        <w:t>un avenant au CPOM</w:t>
      </w:r>
      <w:r w:rsidRPr="0041600B">
        <w:t xml:space="preserve"> ;</w:t>
      </w:r>
    </w:p>
    <w:p w:rsidR="00882D3E" w:rsidRDefault="00882D3E" w:rsidP="00882D3E">
      <w:pPr>
        <w:numPr>
          <w:ilvl w:val="0"/>
          <w:numId w:val="38"/>
        </w:numPr>
        <w:suppressAutoHyphens/>
        <w:jc w:val="both"/>
      </w:pPr>
      <w:r>
        <w:t>le référencement dans le répertoire FINESS des établissements et services couverts par le contrat et la présentation des différentes activités et publics accueillis dans chacun de ses établissements et services.</w:t>
      </w:r>
    </w:p>
    <w:tbl>
      <w:tblPr>
        <w:tblW w:w="9405" w:type="dxa"/>
        <w:tblLayout w:type="fixed"/>
        <w:tblLook w:val="04A0" w:firstRow="1" w:lastRow="0" w:firstColumn="1" w:lastColumn="0" w:noHBand="0" w:noVBand="1"/>
      </w:tblPr>
      <w:tblGrid>
        <w:gridCol w:w="818"/>
        <w:gridCol w:w="1272"/>
        <w:gridCol w:w="2722"/>
        <w:gridCol w:w="1985"/>
        <w:gridCol w:w="1304"/>
        <w:gridCol w:w="1304"/>
      </w:tblGrid>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rsidP="00882D3E">
            <w:pPr>
              <w:pStyle w:val="Default"/>
              <w:spacing w:line="276" w:lineRule="auto"/>
              <w:ind w:left="-142" w:right="-108"/>
              <w:jc w:val="center"/>
              <w:rPr>
                <w:rFonts w:ascii="Calibri" w:hAnsi="Calibri"/>
                <w:b/>
                <w:color w:val="00000A"/>
                <w:sz w:val="22"/>
                <w:szCs w:val="22"/>
              </w:rPr>
            </w:pPr>
            <w:r>
              <w:rPr>
                <w:rFonts w:ascii="Calibri" w:hAnsi="Calibri"/>
                <w:b/>
                <w:color w:val="00000A"/>
                <w:sz w:val="22"/>
                <w:szCs w:val="22"/>
              </w:rPr>
              <w:t>Départe-ment</w:t>
            </w:r>
          </w:p>
        </w:tc>
        <w:tc>
          <w:tcPr>
            <w:tcW w:w="1272"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pPr>
              <w:pStyle w:val="Default"/>
              <w:spacing w:line="276" w:lineRule="auto"/>
              <w:jc w:val="center"/>
              <w:rPr>
                <w:rFonts w:asciiTheme="minorHAnsi" w:hAnsiTheme="minorHAnsi"/>
                <w:b/>
                <w:color w:val="00B050"/>
                <w:sz w:val="22"/>
                <w:szCs w:val="22"/>
              </w:rPr>
            </w:pPr>
            <w:r>
              <w:rPr>
                <w:rFonts w:asciiTheme="minorHAnsi" w:hAnsiTheme="minorHAnsi"/>
                <w:b/>
                <w:color w:val="auto"/>
                <w:sz w:val="22"/>
                <w:szCs w:val="22"/>
              </w:rPr>
              <w:t>N° FINESS ET</w:t>
            </w:r>
          </w:p>
        </w:tc>
        <w:tc>
          <w:tcPr>
            <w:tcW w:w="2722"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pPr>
              <w:pStyle w:val="Default"/>
              <w:spacing w:line="276" w:lineRule="auto"/>
              <w:jc w:val="center"/>
              <w:rPr>
                <w:rFonts w:ascii="Calibri" w:hAnsi="Calibri"/>
                <w:b/>
                <w:color w:val="00000A"/>
                <w:sz w:val="22"/>
                <w:szCs w:val="22"/>
              </w:rPr>
            </w:pPr>
            <w:r>
              <w:rPr>
                <w:rFonts w:ascii="Calibri" w:hAnsi="Calibri"/>
                <w:b/>
                <w:color w:val="00000A"/>
                <w:sz w:val="22"/>
                <w:szCs w:val="22"/>
              </w:rPr>
              <w:t>Catégorie et raison sociale de l’ESMS</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pPr>
              <w:pStyle w:val="Default"/>
              <w:spacing w:line="276" w:lineRule="auto"/>
              <w:jc w:val="center"/>
              <w:rPr>
                <w:rFonts w:ascii="Calibri" w:hAnsi="Calibri"/>
                <w:b/>
                <w:color w:val="00000A"/>
                <w:sz w:val="22"/>
                <w:szCs w:val="22"/>
              </w:rPr>
            </w:pPr>
            <w:r>
              <w:rPr>
                <w:rFonts w:ascii="Calibri" w:hAnsi="Calibri"/>
                <w:b/>
                <w:color w:val="00000A"/>
                <w:sz w:val="22"/>
                <w:szCs w:val="22"/>
              </w:rPr>
              <w:t>Commune(s) d’implantation</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pPr>
              <w:pStyle w:val="Default"/>
              <w:spacing w:line="276" w:lineRule="auto"/>
              <w:jc w:val="center"/>
              <w:rPr>
                <w:rFonts w:ascii="Calibri" w:hAnsi="Calibri"/>
                <w:b/>
                <w:color w:val="00000A"/>
                <w:sz w:val="22"/>
                <w:szCs w:val="22"/>
              </w:rPr>
            </w:pPr>
            <w:r>
              <w:rPr>
                <w:rFonts w:ascii="Calibri" w:hAnsi="Calibri"/>
                <w:b/>
                <w:color w:val="00000A"/>
                <w:sz w:val="22"/>
                <w:szCs w:val="22"/>
              </w:rPr>
              <w:t>Capacité autorisée</w:t>
            </w:r>
          </w:p>
        </w:tc>
        <w:tc>
          <w:tcPr>
            <w:tcW w:w="1304" w:type="dxa"/>
            <w:tcBorders>
              <w:top w:val="single" w:sz="4" w:space="0" w:color="000000"/>
              <w:left w:val="single" w:sz="4" w:space="0" w:color="000000"/>
              <w:bottom w:val="single" w:sz="4" w:space="0" w:color="000000"/>
              <w:right w:val="single" w:sz="4" w:space="0" w:color="000000"/>
            </w:tcBorders>
            <w:vAlign w:val="center"/>
            <w:hideMark/>
          </w:tcPr>
          <w:p w:rsidR="00882D3E" w:rsidRDefault="00882D3E">
            <w:pPr>
              <w:pStyle w:val="Default"/>
              <w:spacing w:line="276" w:lineRule="auto"/>
              <w:jc w:val="center"/>
              <w:rPr>
                <w:rFonts w:ascii="Calibri" w:hAnsi="Calibri"/>
                <w:b/>
                <w:color w:val="00000A"/>
                <w:sz w:val="22"/>
                <w:szCs w:val="22"/>
              </w:rPr>
            </w:pPr>
            <w:r>
              <w:rPr>
                <w:rFonts w:ascii="Calibri" w:hAnsi="Calibri"/>
                <w:b/>
                <w:color w:val="00000A"/>
                <w:sz w:val="22"/>
                <w:szCs w:val="22"/>
              </w:rPr>
              <w:t>Capacité installée et financée</w:t>
            </w: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r w:rsidR="00882D3E" w:rsidTr="00882D3E">
        <w:tc>
          <w:tcPr>
            <w:tcW w:w="818"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272" w:type="dxa"/>
            <w:tcBorders>
              <w:top w:val="single" w:sz="4" w:space="0" w:color="000000"/>
              <w:left w:val="single" w:sz="4" w:space="0" w:color="000000"/>
              <w:bottom w:val="single" w:sz="4" w:space="0" w:color="000000"/>
              <w:right w:val="single" w:sz="4" w:space="0" w:color="000000"/>
            </w:tcBorders>
          </w:tcPr>
          <w:p w:rsidR="00882D3E" w:rsidRDefault="00882D3E">
            <w:pPr>
              <w:pStyle w:val="Default"/>
              <w:spacing w:line="276" w:lineRule="auto"/>
              <w:jc w:val="both"/>
              <w:rPr>
                <w:rFonts w:asciiTheme="minorHAnsi" w:hAnsiTheme="minorHAnsi"/>
                <w:color w:val="auto"/>
                <w:sz w:val="22"/>
                <w:szCs w:val="22"/>
              </w:rPr>
            </w:pPr>
          </w:p>
        </w:tc>
        <w:tc>
          <w:tcPr>
            <w:tcW w:w="2722"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rPr>
                <w:rFonts w:ascii="Calibri" w:hAnsi="Calibri"/>
                <w:color w:val="00000A"/>
                <w:sz w:val="22"/>
                <w:szCs w:val="22"/>
              </w:rPr>
            </w:pPr>
          </w:p>
        </w:tc>
        <w:tc>
          <w:tcPr>
            <w:tcW w:w="1985"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c>
          <w:tcPr>
            <w:tcW w:w="1304" w:type="dxa"/>
            <w:tcBorders>
              <w:top w:val="single" w:sz="4" w:space="0" w:color="000000"/>
              <w:left w:val="single" w:sz="4" w:space="0" w:color="000000"/>
              <w:bottom w:val="single" w:sz="4" w:space="0" w:color="000000"/>
              <w:right w:val="single" w:sz="4" w:space="0" w:color="000000"/>
            </w:tcBorders>
            <w:vAlign w:val="center"/>
          </w:tcPr>
          <w:p w:rsidR="00882D3E" w:rsidRDefault="00882D3E">
            <w:pPr>
              <w:pStyle w:val="Default"/>
              <w:spacing w:line="276" w:lineRule="auto"/>
              <w:jc w:val="center"/>
              <w:rPr>
                <w:rFonts w:ascii="Calibri" w:hAnsi="Calibri"/>
                <w:color w:val="00000A"/>
                <w:sz w:val="22"/>
                <w:szCs w:val="22"/>
              </w:rPr>
            </w:pPr>
          </w:p>
        </w:tc>
      </w:tr>
    </w:tbl>
    <w:p w:rsidR="00882D3E" w:rsidRDefault="00882D3E" w:rsidP="00882D3E"/>
    <w:p w:rsidR="00882D3E" w:rsidRDefault="00882D3E" w:rsidP="00882D3E">
      <w:r>
        <w:t>Le tableau ci-dessous précise les modalités d’accueil des activités médico-sociales du périmètre du CPOM.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985"/>
        <w:gridCol w:w="15"/>
        <w:gridCol w:w="2001"/>
      </w:tblGrid>
      <w:tr w:rsidR="00882D3E" w:rsidTr="00882D3E">
        <w:trPr>
          <w:trHeight w:val="602"/>
        </w:trPr>
        <w:tc>
          <w:tcPr>
            <w:tcW w:w="9212" w:type="dxa"/>
            <w:gridSpan w:val="4"/>
            <w:tcBorders>
              <w:top w:val="single" w:sz="4" w:space="0" w:color="auto"/>
              <w:left w:val="single" w:sz="4" w:space="0" w:color="auto"/>
              <w:bottom w:val="single" w:sz="4" w:space="0" w:color="auto"/>
              <w:right w:val="single" w:sz="4" w:space="0" w:color="auto"/>
            </w:tcBorders>
            <w:vAlign w:val="center"/>
            <w:hideMark/>
          </w:tcPr>
          <w:p w:rsidR="00882D3E" w:rsidRDefault="00882D3E">
            <w:pPr>
              <w:suppressAutoHyphens/>
              <w:spacing w:after="0" w:line="240" w:lineRule="auto"/>
              <w:jc w:val="center"/>
              <w:rPr>
                <w:rFonts w:ascii="Calibri" w:eastAsia="SimSun" w:hAnsi="Calibri"/>
                <w:kern w:val="2"/>
                <w:lang w:eastAsia="ar-SA"/>
              </w:rPr>
            </w:pPr>
            <w:r>
              <w:t>Capacités totales gérées sur le périmètre du CPOM</w:t>
            </w:r>
          </w:p>
        </w:tc>
      </w:tr>
      <w:tr w:rsidR="00882D3E" w:rsidTr="00882D3E">
        <w:trPr>
          <w:trHeight w:val="554"/>
        </w:trPr>
        <w:tc>
          <w:tcPr>
            <w:tcW w:w="5211" w:type="dxa"/>
            <w:tcBorders>
              <w:top w:val="single" w:sz="4" w:space="0" w:color="auto"/>
              <w:left w:val="single" w:sz="4" w:space="0" w:color="auto"/>
              <w:bottom w:val="single" w:sz="4" w:space="0" w:color="auto"/>
              <w:right w:val="single" w:sz="4" w:space="0" w:color="auto"/>
            </w:tcBorders>
            <w:vAlign w:val="center"/>
            <w:hideMark/>
          </w:tcPr>
          <w:p w:rsidR="00882D3E" w:rsidRDefault="00882D3E">
            <w:pPr>
              <w:spacing w:after="0" w:line="240" w:lineRule="auto"/>
              <w:jc w:val="center"/>
            </w:pPr>
            <w:r>
              <w:t>Activités</w:t>
            </w:r>
          </w:p>
        </w:tc>
        <w:tc>
          <w:tcPr>
            <w:tcW w:w="1985" w:type="dxa"/>
            <w:tcBorders>
              <w:top w:val="single" w:sz="4" w:space="0" w:color="auto"/>
              <w:left w:val="single" w:sz="4" w:space="0" w:color="auto"/>
              <w:bottom w:val="single" w:sz="4" w:space="0" w:color="auto"/>
              <w:right w:val="single" w:sz="4" w:space="0" w:color="auto"/>
            </w:tcBorders>
            <w:vAlign w:val="center"/>
            <w:hideMark/>
          </w:tcPr>
          <w:p w:rsidR="00882D3E" w:rsidRDefault="00882D3E">
            <w:pPr>
              <w:spacing w:after="0" w:line="240" w:lineRule="auto"/>
              <w:jc w:val="center"/>
            </w:pPr>
            <w:r>
              <w:t>Capacité autorisée</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882D3E" w:rsidRDefault="00882D3E">
            <w:pPr>
              <w:spacing w:after="0" w:line="240" w:lineRule="auto"/>
              <w:jc w:val="center"/>
            </w:pPr>
            <w:r>
              <w:t>Capacité installée</w:t>
            </w: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Hébergement complet (internat)</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Semi-internat</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Externat</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Placement Famille d’Accueil</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Prestation en milieu ordinaire</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Internat de semaine</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Accueil de jour</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r w:rsidR="00882D3E" w:rsidTr="00882D3E">
        <w:tc>
          <w:tcPr>
            <w:tcW w:w="5211" w:type="dxa"/>
            <w:tcBorders>
              <w:top w:val="single" w:sz="4" w:space="0" w:color="auto"/>
              <w:left w:val="single" w:sz="4" w:space="0" w:color="auto"/>
              <w:bottom w:val="single" w:sz="4" w:space="0" w:color="auto"/>
              <w:right w:val="single" w:sz="4" w:space="0" w:color="auto"/>
            </w:tcBorders>
            <w:hideMark/>
          </w:tcPr>
          <w:p w:rsidR="00882D3E" w:rsidRDefault="00882D3E">
            <w:pPr>
              <w:spacing w:after="0" w:line="240" w:lineRule="auto"/>
            </w:pPr>
            <w:r>
              <w:t>Accueil et prise en charge en appartements thérapeutiques</w:t>
            </w:r>
          </w:p>
        </w:tc>
        <w:tc>
          <w:tcPr>
            <w:tcW w:w="2000" w:type="dxa"/>
            <w:gridSpan w:val="2"/>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c>
          <w:tcPr>
            <w:tcW w:w="2001" w:type="dxa"/>
            <w:tcBorders>
              <w:top w:val="single" w:sz="4" w:space="0" w:color="auto"/>
              <w:left w:val="single" w:sz="4" w:space="0" w:color="auto"/>
              <w:bottom w:val="single" w:sz="4" w:space="0" w:color="auto"/>
              <w:right w:val="single" w:sz="4" w:space="0" w:color="auto"/>
            </w:tcBorders>
          </w:tcPr>
          <w:p w:rsidR="00882D3E" w:rsidRDefault="00882D3E">
            <w:pPr>
              <w:spacing w:after="0" w:line="240" w:lineRule="auto"/>
            </w:pPr>
          </w:p>
        </w:tc>
      </w:tr>
    </w:tbl>
    <w:p w:rsidR="00A83A95" w:rsidRPr="00CB4E7A" w:rsidRDefault="000D2734" w:rsidP="00CB4E7A">
      <w:pPr>
        <w:pStyle w:val="Titre1"/>
      </w:pPr>
      <w:bookmarkStart w:id="5" w:name="_Toc494049536"/>
      <w:r w:rsidRPr="00CB4E7A">
        <w:lastRenderedPageBreak/>
        <w:t>ARTICLE 4</w:t>
      </w:r>
      <w:r w:rsidR="00CB4E7A">
        <w:t xml:space="preserve"> – </w:t>
      </w:r>
      <w:r w:rsidR="00A83A95" w:rsidRPr="00CB4E7A">
        <w:t>DIAGNOSTIC PARTAGE</w:t>
      </w:r>
      <w:bookmarkEnd w:id="5"/>
    </w:p>
    <w:p w:rsidR="009C6B7E" w:rsidRDefault="00A83A95"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Le diagnostic partagé s’appuie</w:t>
      </w:r>
      <w:r w:rsidR="005F6930" w:rsidRPr="00646009">
        <w:rPr>
          <w:rFonts w:asciiTheme="minorHAnsi" w:hAnsiTheme="minorHAnsi"/>
          <w:color w:val="auto"/>
          <w:sz w:val="22"/>
          <w:szCs w:val="22"/>
        </w:rPr>
        <w:t xml:space="preserve"> </w:t>
      </w:r>
      <w:r w:rsidR="009C6B7E" w:rsidRPr="00646009">
        <w:rPr>
          <w:rFonts w:asciiTheme="minorHAnsi" w:hAnsiTheme="minorHAnsi"/>
          <w:color w:val="auto"/>
          <w:sz w:val="22"/>
          <w:szCs w:val="22"/>
        </w:rPr>
        <w:t>sur les indicateurs transmis par le gestionnaire par le biais du Tableau de b</w:t>
      </w:r>
      <w:r w:rsidR="005F6930" w:rsidRPr="00646009">
        <w:rPr>
          <w:rFonts w:asciiTheme="minorHAnsi" w:hAnsiTheme="minorHAnsi"/>
          <w:color w:val="auto"/>
          <w:sz w:val="22"/>
          <w:szCs w:val="22"/>
        </w:rPr>
        <w:t>ord de la performance</w:t>
      </w:r>
      <w:r w:rsidR="00882D3E">
        <w:rPr>
          <w:rFonts w:asciiTheme="minorHAnsi" w:hAnsiTheme="minorHAnsi"/>
          <w:color w:val="auto"/>
          <w:sz w:val="22"/>
          <w:szCs w:val="22"/>
        </w:rPr>
        <w:t xml:space="preserve"> du secteur médico-social</w:t>
      </w:r>
      <w:r w:rsidR="0050646A" w:rsidRPr="00646009">
        <w:rPr>
          <w:rFonts w:asciiTheme="minorHAnsi" w:hAnsiTheme="minorHAnsi"/>
          <w:color w:val="auto"/>
          <w:sz w:val="22"/>
          <w:szCs w:val="22"/>
        </w:rPr>
        <w:t xml:space="preserve"> </w:t>
      </w:r>
      <w:r w:rsidR="00882D3E">
        <w:rPr>
          <w:rFonts w:asciiTheme="minorHAnsi" w:hAnsiTheme="minorHAnsi"/>
          <w:color w:val="auto"/>
          <w:sz w:val="22"/>
          <w:szCs w:val="22"/>
        </w:rPr>
        <w:t>(</w:t>
      </w:r>
      <w:r w:rsidR="005F6930" w:rsidRPr="00646009">
        <w:rPr>
          <w:rFonts w:asciiTheme="minorHAnsi" w:hAnsiTheme="minorHAnsi"/>
          <w:color w:val="auto"/>
          <w:sz w:val="22"/>
          <w:szCs w:val="22"/>
        </w:rPr>
        <w:t>ANAP</w:t>
      </w:r>
      <w:r w:rsidR="00882D3E">
        <w:rPr>
          <w:rFonts w:asciiTheme="minorHAnsi" w:hAnsiTheme="minorHAnsi"/>
          <w:color w:val="auto"/>
          <w:sz w:val="22"/>
          <w:szCs w:val="22"/>
        </w:rPr>
        <w:t>)</w:t>
      </w:r>
      <w:r w:rsidR="005F6930" w:rsidRPr="00646009">
        <w:rPr>
          <w:rFonts w:asciiTheme="minorHAnsi" w:hAnsiTheme="minorHAnsi"/>
          <w:color w:val="auto"/>
          <w:sz w:val="22"/>
          <w:szCs w:val="22"/>
        </w:rPr>
        <w:t xml:space="preserve">, auxquels </w:t>
      </w:r>
      <w:r w:rsidR="00882D3E">
        <w:rPr>
          <w:rFonts w:asciiTheme="minorHAnsi" w:hAnsiTheme="minorHAnsi"/>
          <w:color w:val="auto"/>
          <w:sz w:val="22"/>
          <w:szCs w:val="22"/>
        </w:rPr>
        <w:t>s’ajoutent</w:t>
      </w:r>
      <w:r w:rsidR="005F6930" w:rsidRPr="00646009">
        <w:rPr>
          <w:rFonts w:asciiTheme="minorHAnsi" w:hAnsiTheme="minorHAnsi"/>
          <w:color w:val="auto"/>
          <w:sz w:val="22"/>
          <w:szCs w:val="22"/>
        </w:rPr>
        <w:t xml:space="preserve"> </w:t>
      </w:r>
      <w:r w:rsidR="00882D3E">
        <w:rPr>
          <w:rFonts w:asciiTheme="minorHAnsi" w:hAnsiTheme="minorHAnsi"/>
          <w:color w:val="auto"/>
          <w:sz w:val="22"/>
          <w:szCs w:val="22"/>
        </w:rPr>
        <w:t>des</w:t>
      </w:r>
      <w:r w:rsidR="005F6930" w:rsidRPr="00646009">
        <w:rPr>
          <w:rFonts w:asciiTheme="minorHAnsi" w:hAnsiTheme="minorHAnsi"/>
          <w:color w:val="auto"/>
          <w:sz w:val="22"/>
          <w:szCs w:val="22"/>
        </w:rPr>
        <w:t xml:space="preserve"> indicateurs supplémentaires établis par l’ARS.</w:t>
      </w:r>
      <w:r w:rsidR="001B2053" w:rsidRPr="00646009">
        <w:rPr>
          <w:rFonts w:asciiTheme="minorHAnsi" w:hAnsiTheme="minorHAnsi"/>
          <w:color w:val="auto"/>
          <w:sz w:val="22"/>
          <w:szCs w:val="22"/>
        </w:rPr>
        <w:t xml:space="preserve"> </w:t>
      </w:r>
    </w:p>
    <w:p w:rsidR="00A83A95" w:rsidRPr="00646009" w:rsidRDefault="0081581A"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La synthèse</w:t>
      </w:r>
      <w:r w:rsidR="00726692" w:rsidRPr="00646009">
        <w:rPr>
          <w:rFonts w:asciiTheme="minorHAnsi" w:hAnsiTheme="minorHAnsi"/>
          <w:color w:val="auto"/>
          <w:sz w:val="22"/>
          <w:szCs w:val="22"/>
        </w:rPr>
        <w:t xml:space="preserve"> de ces i</w:t>
      </w:r>
      <w:r w:rsidR="00D91B38" w:rsidRPr="00646009">
        <w:rPr>
          <w:rFonts w:asciiTheme="minorHAnsi" w:hAnsiTheme="minorHAnsi"/>
          <w:color w:val="auto"/>
          <w:sz w:val="22"/>
          <w:szCs w:val="22"/>
        </w:rPr>
        <w:t>ndicateurs sert de base d’échanges</w:t>
      </w:r>
      <w:r w:rsidR="00726692" w:rsidRPr="00646009">
        <w:rPr>
          <w:rFonts w:asciiTheme="minorHAnsi" w:hAnsiTheme="minorHAnsi"/>
          <w:color w:val="auto"/>
          <w:sz w:val="22"/>
          <w:szCs w:val="22"/>
        </w:rPr>
        <w:t xml:space="preserve"> </w:t>
      </w:r>
      <w:r w:rsidR="00A83A95" w:rsidRPr="00646009">
        <w:rPr>
          <w:rFonts w:asciiTheme="minorHAnsi" w:hAnsiTheme="minorHAnsi"/>
          <w:color w:val="auto"/>
          <w:sz w:val="22"/>
          <w:szCs w:val="22"/>
        </w:rPr>
        <w:t>pour aboutir à un consensus entre le gestionnaire et l’ARS sur le</w:t>
      </w:r>
      <w:r w:rsidR="00C5366B" w:rsidRPr="00646009">
        <w:rPr>
          <w:rFonts w:asciiTheme="minorHAnsi" w:hAnsiTheme="minorHAnsi"/>
          <w:color w:val="auto"/>
          <w:sz w:val="22"/>
          <w:szCs w:val="22"/>
        </w:rPr>
        <w:t>s points forts, les points à améliorer</w:t>
      </w:r>
      <w:r w:rsidR="001B2053" w:rsidRPr="00646009">
        <w:rPr>
          <w:rFonts w:asciiTheme="minorHAnsi" w:hAnsiTheme="minorHAnsi"/>
          <w:color w:val="auto"/>
          <w:sz w:val="22"/>
          <w:szCs w:val="22"/>
        </w:rPr>
        <w:t xml:space="preserve"> et les objectifs et actions</w:t>
      </w:r>
      <w:r w:rsidR="00A83A95" w:rsidRPr="00646009">
        <w:rPr>
          <w:rFonts w:asciiTheme="minorHAnsi" w:hAnsiTheme="minorHAnsi"/>
          <w:color w:val="auto"/>
          <w:sz w:val="22"/>
          <w:szCs w:val="22"/>
        </w:rPr>
        <w:t xml:space="preserve"> à inscrire dans le présent contrat.</w:t>
      </w:r>
    </w:p>
    <w:p w:rsidR="008F0D18" w:rsidRDefault="008F0D18"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 xml:space="preserve">La synthèse du diagnostic partagé est </w:t>
      </w:r>
      <w:r w:rsidR="00681226">
        <w:rPr>
          <w:rFonts w:asciiTheme="minorHAnsi" w:hAnsiTheme="minorHAnsi"/>
          <w:color w:val="auto"/>
          <w:sz w:val="22"/>
          <w:szCs w:val="22"/>
        </w:rPr>
        <w:t xml:space="preserve">annexée au </w:t>
      </w:r>
      <w:r w:rsidRPr="00646009">
        <w:rPr>
          <w:rFonts w:asciiTheme="minorHAnsi" w:hAnsiTheme="minorHAnsi"/>
          <w:color w:val="auto"/>
          <w:sz w:val="22"/>
          <w:szCs w:val="22"/>
        </w:rPr>
        <w:t>présent contrat.</w:t>
      </w:r>
    </w:p>
    <w:p w:rsidR="00D11808" w:rsidRPr="00CB4E7A" w:rsidRDefault="00D11808" w:rsidP="00CB4E7A">
      <w:pPr>
        <w:pStyle w:val="Titre1"/>
      </w:pPr>
      <w:bookmarkStart w:id="6" w:name="_Toc494049537"/>
      <w:r w:rsidRPr="00CB4E7A">
        <w:t>ARTICLE 5</w:t>
      </w:r>
      <w:r w:rsidR="00CB4E7A">
        <w:t xml:space="preserve"> – </w:t>
      </w:r>
      <w:r w:rsidRPr="00CB4E7A">
        <w:t>OBJECTIFS OPERATIONNELS ET PLAN D’ACTION</w:t>
      </w:r>
      <w:r w:rsidR="008F4920">
        <w:t>S</w:t>
      </w:r>
      <w:r w:rsidRPr="00CB4E7A">
        <w:t xml:space="preserve"> DU CPOM</w:t>
      </w:r>
      <w:bookmarkEnd w:id="6"/>
    </w:p>
    <w:p w:rsidR="00F91C83" w:rsidRDefault="00F91C83" w:rsidP="00681226">
      <w:pPr>
        <w:pStyle w:val="Default"/>
        <w:spacing w:after="120"/>
        <w:jc w:val="both"/>
        <w:rPr>
          <w:rFonts w:asciiTheme="minorHAnsi" w:hAnsiTheme="minorHAnsi"/>
          <w:color w:val="auto"/>
          <w:sz w:val="22"/>
          <w:szCs w:val="22"/>
        </w:rPr>
      </w:pPr>
      <w:r w:rsidRPr="000F5BC1">
        <w:rPr>
          <w:rFonts w:asciiTheme="minorHAnsi" w:hAnsiTheme="minorHAnsi"/>
          <w:color w:val="auto"/>
          <w:sz w:val="22"/>
          <w:szCs w:val="22"/>
        </w:rPr>
        <w:t>Les objectifs opérationnels et le plan d’action</w:t>
      </w:r>
      <w:r w:rsidR="00B33563">
        <w:rPr>
          <w:rFonts w:asciiTheme="minorHAnsi" w:hAnsiTheme="minorHAnsi"/>
          <w:color w:val="auto"/>
          <w:sz w:val="22"/>
          <w:szCs w:val="22"/>
        </w:rPr>
        <w:t>s</w:t>
      </w:r>
      <w:r w:rsidRPr="000F5BC1">
        <w:rPr>
          <w:rFonts w:asciiTheme="minorHAnsi" w:hAnsiTheme="minorHAnsi"/>
          <w:color w:val="auto"/>
          <w:sz w:val="22"/>
          <w:szCs w:val="22"/>
        </w:rPr>
        <w:t xml:space="preserve"> inscrits au CPOM sont directement issus du diagnostic partagé entre le gestionnaire</w:t>
      </w:r>
      <w:r w:rsidR="00683502">
        <w:rPr>
          <w:rFonts w:asciiTheme="minorHAnsi" w:hAnsiTheme="minorHAnsi"/>
          <w:color w:val="auto"/>
          <w:sz w:val="22"/>
          <w:szCs w:val="22"/>
        </w:rPr>
        <w:t xml:space="preserve"> et</w:t>
      </w:r>
      <w:r w:rsidRPr="000F5BC1">
        <w:rPr>
          <w:rFonts w:asciiTheme="minorHAnsi" w:hAnsiTheme="minorHAnsi"/>
          <w:color w:val="auto"/>
          <w:sz w:val="22"/>
          <w:szCs w:val="22"/>
        </w:rPr>
        <w:t xml:space="preserve"> l’ARS. Ils mettent en application l’ensemble des orientations et objectifs présentés à l’article 1.</w:t>
      </w:r>
    </w:p>
    <w:p w:rsidR="00F91C83" w:rsidRDefault="00F91C83" w:rsidP="00681226">
      <w:pPr>
        <w:pStyle w:val="Default"/>
        <w:spacing w:after="120"/>
        <w:jc w:val="both"/>
        <w:rPr>
          <w:rFonts w:asciiTheme="minorHAnsi" w:hAnsiTheme="minorHAnsi"/>
          <w:color w:val="auto"/>
          <w:sz w:val="22"/>
          <w:szCs w:val="22"/>
        </w:rPr>
      </w:pPr>
    </w:p>
    <w:p w:rsidR="00F91C83" w:rsidRDefault="00F91C83" w:rsidP="00681226">
      <w:pPr>
        <w:pStyle w:val="Default"/>
        <w:spacing w:after="120" w:line="276" w:lineRule="auto"/>
        <w:jc w:val="both"/>
        <w:rPr>
          <w:rFonts w:ascii="Calibri" w:hAnsi="Calibri"/>
          <w:color w:val="00000A"/>
          <w:sz w:val="22"/>
          <w:szCs w:val="22"/>
        </w:rPr>
      </w:pPr>
      <w:r>
        <w:rPr>
          <w:rFonts w:ascii="Calibri" w:hAnsi="Calibri"/>
          <w:color w:val="00000A"/>
          <w:sz w:val="22"/>
          <w:szCs w:val="22"/>
        </w:rPr>
        <w:t>Le nombre et la nature des objectifs doivent être conformes à une évaluation réaliste de la capacité du gestionnaire à mettre en œuvre l’ensemble des actions nécessaires à leur atteinte, et en rapport avec les moyens dédiés à la réalisation du CPOM. Les objectifs doivent être formulés avec précision en fonction d’une situation initiale décrite avec exactitude dans le diagnostic partagé.</w:t>
      </w:r>
    </w:p>
    <w:p w:rsidR="00A438FC" w:rsidRPr="00646009" w:rsidRDefault="00A438FC" w:rsidP="0068122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Les objectifs opérationnels et plans d’action</w:t>
      </w:r>
      <w:r w:rsidR="00B33563">
        <w:rPr>
          <w:rFonts w:asciiTheme="minorHAnsi" w:hAnsiTheme="minorHAnsi"/>
          <w:color w:val="auto"/>
          <w:sz w:val="22"/>
          <w:szCs w:val="22"/>
        </w:rPr>
        <w:t>s</w:t>
      </w:r>
      <w:r w:rsidRPr="00646009">
        <w:rPr>
          <w:rFonts w:asciiTheme="minorHAnsi" w:hAnsiTheme="minorHAnsi"/>
          <w:color w:val="auto"/>
          <w:sz w:val="22"/>
          <w:szCs w:val="22"/>
        </w:rPr>
        <w:t xml:space="preserve"> </w:t>
      </w:r>
      <w:r w:rsidR="003C5D3F" w:rsidRPr="00646009">
        <w:rPr>
          <w:rFonts w:asciiTheme="minorHAnsi" w:hAnsiTheme="minorHAnsi"/>
          <w:color w:val="auto"/>
          <w:sz w:val="22"/>
          <w:szCs w:val="22"/>
        </w:rPr>
        <w:t>faisant l’objet de la contractualisation</w:t>
      </w:r>
      <w:r w:rsidRPr="00646009">
        <w:rPr>
          <w:rFonts w:asciiTheme="minorHAnsi" w:hAnsiTheme="minorHAnsi"/>
          <w:color w:val="auto"/>
          <w:sz w:val="22"/>
          <w:szCs w:val="22"/>
        </w:rPr>
        <w:t xml:space="preserve"> sont les suivants :</w:t>
      </w:r>
    </w:p>
    <w:p w:rsidR="00681226" w:rsidRDefault="00681226" w:rsidP="00681226">
      <w:pPr>
        <w:pStyle w:val="Default"/>
        <w:spacing w:after="120"/>
        <w:jc w:val="both"/>
        <w:rPr>
          <w:rFonts w:ascii="Calibri" w:hAnsi="Calibri"/>
          <w:color w:val="auto"/>
          <w:sz w:val="22"/>
          <w:szCs w:val="22"/>
        </w:rPr>
      </w:pPr>
      <w:r>
        <w:rPr>
          <w:rFonts w:ascii="Calibri" w:hAnsi="Calibri"/>
          <w:color w:val="auto"/>
          <w:sz w:val="22"/>
          <w:szCs w:val="22"/>
        </w:rPr>
        <w:t>1-</w:t>
      </w:r>
    </w:p>
    <w:p w:rsidR="00681226" w:rsidRDefault="00681226" w:rsidP="00681226">
      <w:pPr>
        <w:pStyle w:val="Default"/>
        <w:spacing w:after="120"/>
        <w:jc w:val="both"/>
        <w:rPr>
          <w:rFonts w:ascii="Calibri" w:hAnsi="Calibri"/>
          <w:color w:val="auto"/>
          <w:sz w:val="22"/>
          <w:szCs w:val="22"/>
        </w:rPr>
      </w:pPr>
      <w:r>
        <w:rPr>
          <w:rFonts w:ascii="Calibri" w:hAnsi="Calibri"/>
          <w:color w:val="auto"/>
          <w:sz w:val="22"/>
          <w:szCs w:val="22"/>
        </w:rPr>
        <w:t>2-</w:t>
      </w:r>
    </w:p>
    <w:p w:rsidR="00681226" w:rsidRDefault="00681226" w:rsidP="00681226">
      <w:pPr>
        <w:pStyle w:val="Default"/>
        <w:spacing w:after="120"/>
        <w:jc w:val="both"/>
        <w:rPr>
          <w:rFonts w:ascii="Calibri" w:hAnsi="Calibri"/>
          <w:color w:val="auto"/>
          <w:sz w:val="22"/>
          <w:szCs w:val="22"/>
        </w:rPr>
      </w:pPr>
      <w:r>
        <w:rPr>
          <w:rFonts w:ascii="Calibri" w:hAnsi="Calibri"/>
          <w:color w:val="auto"/>
          <w:sz w:val="22"/>
          <w:szCs w:val="22"/>
        </w:rPr>
        <w:t>3-</w:t>
      </w:r>
    </w:p>
    <w:p w:rsidR="00681226" w:rsidRDefault="00681226" w:rsidP="00681226">
      <w:pPr>
        <w:pStyle w:val="Default"/>
        <w:spacing w:after="120"/>
        <w:jc w:val="both"/>
        <w:rPr>
          <w:rFonts w:ascii="Calibri" w:hAnsi="Calibri"/>
          <w:color w:val="auto"/>
          <w:sz w:val="22"/>
          <w:szCs w:val="22"/>
        </w:rPr>
      </w:pPr>
      <w:r>
        <w:rPr>
          <w:rFonts w:ascii="Calibri" w:hAnsi="Calibri"/>
          <w:color w:val="auto"/>
          <w:sz w:val="22"/>
          <w:szCs w:val="22"/>
        </w:rPr>
        <w:t>4-</w:t>
      </w:r>
    </w:p>
    <w:p w:rsidR="00681226" w:rsidRDefault="00681226" w:rsidP="00681226">
      <w:pPr>
        <w:pStyle w:val="Default"/>
        <w:spacing w:after="120"/>
        <w:jc w:val="both"/>
        <w:rPr>
          <w:rFonts w:ascii="Calibri" w:hAnsi="Calibri"/>
          <w:color w:val="auto"/>
          <w:sz w:val="22"/>
          <w:szCs w:val="22"/>
        </w:rPr>
      </w:pPr>
      <w:r>
        <w:rPr>
          <w:rFonts w:ascii="Calibri" w:hAnsi="Calibri"/>
          <w:color w:val="auto"/>
          <w:sz w:val="22"/>
          <w:szCs w:val="22"/>
        </w:rPr>
        <w:t>5-</w:t>
      </w:r>
    </w:p>
    <w:p w:rsidR="00A438FC" w:rsidRPr="00646009" w:rsidRDefault="00A438FC" w:rsidP="00681226">
      <w:pPr>
        <w:pStyle w:val="Default"/>
        <w:spacing w:after="120" w:line="276" w:lineRule="auto"/>
        <w:jc w:val="both"/>
        <w:rPr>
          <w:rFonts w:asciiTheme="minorHAnsi" w:hAnsiTheme="minorHAnsi"/>
          <w:color w:val="auto"/>
          <w:sz w:val="22"/>
          <w:szCs w:val="22"/>
        </w:rPr>
      </w:pPr>
    </w:p>
    <w:p w:rsidR="00D11808" w:rsidRDefault="0024076D" w:rsidP="0068122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Le tableau de synthèse des objectifs et actions ainsi que les fiches-actions afférentes figurent en annexe du CPOM.</w:t>
      </w:r>
    </w:p>
    <w:p w:rsidR="00D11808" w:rsidRPr="00CB4E7A" w:rsidRDefault="00CB4E7A" w:rsidP="00CB4E7A">
      <w:pPr>
        <w:pStyle w:val="Titre1"/>
      </w:pPr>
      <w:bookmarkStart w:id="7" w:name="_Toc494049538"/>
      <w:r>
        <w:t xml:space="preserve">ARTICLE 6 – </w:t>
      </w:r>
      <w:r w:rsidR="00F729B7" w:rsidRPr="00CB4E7A">
        <w:t>OBJECTIFS RELATIFS A L’ACTIVITE</w:t>
      </w:r>
      <w:r w:rsidR="004744D5" w:rsidRPr="00CB4E7A">
        <w:t xml:space="preserve"> </w:t>
      </w:r>
      <w:r w:rsidR="00573ED5" w:rsidRPr="00CB4E7A">
        <w:t>DE</w:t>
      </w:r>
      <w:r w:rsidR="003D696F" w:rsidRPr="00CB4E7A">
        <w:t>S ESMS</w:t>
      </w:r>
      <w:bookmarkEnd w:id="7"/>
    </w:p>
    <w:p w:rsidR="00EA06B3" w:rsidRPr="001E23E5" w:rsidRDefault="00EA06B3" w:rsidP="00EA06B3">
      <w:pPr>
        <w:jc w:val="both"/>
        <w:rPr>
          <w:i/>
          <w:color w:val="1F497D" w:themeColor="text2"/>
        </w:rPr>
      </w:pPr>
      <w:r>
        <w:t xml:space="preserve">Le CPOM, par ses enjeux, a également pour finalité d’objectiver et d’optimiser l’activité du ou des ESMS. </w:t>
      </w:r>
      <w:r w:rsidRPr="001E23E5">
        <w:rPr>
          <w:i/>
          <w:color w:val="1F497D" w:themeColor="text2"/>
        </w:rPr>
        <w:t>Ainsi, les modalités de prise en charge effectivement mises en œuvre par le ou les ESMS sont explicitées ici.</w:t>
      </w:r>
    </w:p>
    <w:p w:rsidR="00D83B06" w:rsidRPr="00646009" w:rsidRDefault="00D83B06" w:rsidP="006E6FC6">
      <w:pPr>
        <w:jc w:val="both"/>
      </w:pPr>
      <w:r w:rsidRPr="00646009">
        <w:t xml:space="preserve">La négociation du CPOM doit permettre de mettre </w:t>
      </w:r>
      <w:r w:rsidR="002C10CB" w:rsidRPr="00646009">
        <w:t>en cohérence les activités du gestionnaire avec les priorités de politique publique, et notamment celles établies par le</w:t>
      </w:r>
      <w:r w:rsidR="004744D5" w:rsidRPr="00646009">
        <w:t xml:space="preserve"> </w:t>
      </w:r>
      <w:r w:rsidR="001B7552">
        <w:t>PRS</w:t>
      </w:r>
      <w:r w:rsidR="002C10CB" w:rsidRPr="00646009">
        <w:t xml:space="preserve"> de l’ARS Grand Est.</w:t>
      </w:r>
    </w:p>
    <w:p w:rsidR="001E5A7D" w:rsidRPr="00646009" w:rsidRDefault="00ED12AE" w:rsidP="006E6FC6">
      <w:pPr>
        <w:jc w:val="both"/>
      </w:pPr>
      <w:r w:rsidRPr="00646009">
        <w:t xml:space="preserve">La négociation du CPOM doit </w:t>
      </w:r>
      <w:r w:rsidR="002C10CB" w:rsidRPr="00646009">
        <w:t xml:space="preserve">également </w:t>
      </w:r>
      <w:r w:rsidRPr="00646009">
        <w:t>perme</w:t>
      </w:r>
      <w:r w:rsidR="002C10CB" w:rsidRPr="00646009">
        <w:t>ttre d’établir les activités du gestio</w:t>
      </w:r>
      <w:r w:rsidR="0006257D" w:rsidRPr="00646009">
        <w:t>nnaire et de ses structures</w:t>
      </w:r>
      <w:r w:rsidRPr="00646009">
        <w:t xml:space="preserve"> qui feron</w:t>
      </w:r>
      <w:r w:rsidR="001E5A7D" w:rsidRPr="00646009">
        <w:t>t l’objet d’un objectif particulier</w:t>
      </w:r>
      <w:r w:rsidRPr="00646009">
        <w:t>.</w:t>
      </w:r>
    </w:p>
    <w:p w:rsidR="00646009" w:rsidRPr="00681226" w:rsidRDefault="001E5A7D" w:rsidP="006E6FC6">
      <w:pPr>
        <w:jc w:val="both"/>
        <w:rPr>
          <w:i/>
          <w:color w:val="1F497D" w:themeColor="text2"/>
        </w:rPr>
      </w:pPr>
      <w:r w:rsidRPr="00681226">
        <w:rPr>
          <w:i/>
          <w:color w:val="1F497D" w:themeColor="text2"/>
        </w:rPr>
        <w:lastRenderedPageBreak/>
        <w:t>En cas de problématique spécifique en matière d’activité, prévoir de contractualiser sur un objectif chiffré.</w:t>
      </w:r>
    </w:p>
    <w:p w:rsidR="00F0535C" w:rsidRDefault="00F0535C" w:rsidP="00CB4E7A">
      <w:pPr>
        <w:pStyle w:val="Titre1"/>
      </w:pPr>
      <w:bookmarkStart w:id="8" w:name="_Toc494049539"/>
      <w:r>
        <w:t>ARTICLE 7</w:t>
      </w:r>
      <w:r w:rsidR="00CB4E7A">
        <w:t xml:space="preserve"> – </w:t>
      </w:r>
      <w:r>
        <w:t>CADRAGE FINANCIER DU CONTRAT</w:t>
      </w:r>
      <w:bookmarkEnd w:id="8"/>
    </w:p>
    <w:p w:rsidR="00377C1F" w:rsidRDefault="00377C1F" w:rsidP="00377C1F">
      <w:pPr>
        <w:jc w:val="both"/>
        <w:rPr>
          <w:rFonts w:eastAsia="font279"/>
          <w:lang w:eastAsia="hi-IN" w:bidi="hi-IN"/>
        </w:rPr>
      </w:pPr>
      <w:r>
        <w:rPr>
          <w:rFonts w:eastAsia="font279"/>
          <w:lang w:eastAsia="hi-IN" w:bidi="hi-IN"/>
        </w:rPr>
        <w:t xml:space="preserve">Le CPOM explicite les moyens dont dispose le gestionnaire pendant la durée du contrat. </w:t>
      </w:r>
    </w:p>
    <w:p w:rsidR="00F0535C" w:rsidRPr="00C376C0" w:rsidRDefault="00F0535C" w:rsidP="00C376C0">
      <w:pPr>
        <w:pStyle w:val="Sous-titre"/>
        <w:spacing w:before="360" w:after="240"/>
        <w:ind w:firstLine="708"/>
        <w:jc w:val="both"/>
        <w:rPr>
          <w:rFonts w:asciiTheme="minorHAnsi" w:hAnsiTheme="minorHAnsi"/>
          <w:sz w:val="22"/>
          <w:szCs w:val="22"/>
        </w:rPr>
      </w:pPr>
      <w:r w:rsidRPr="00C376C0">
        <w:rPr>
          <w:rFonts w:asciiTheme="minorHAnsi" w:hAnsiTheme="minorHAnsi"/>
          <w:iCs w:val="0"/>
          <w:sz w:val="22"/>
          <w:szCs w:val="22"/>
        </w:rPr>
        <w:t xml:space="preserve">7.1 </w:t>
      </w:r>
      <w:r w:rsidR="00780EDA">
        <w:rPr>
          <w:rFonts w:asciiTheme="minorHAnsi" w:hAnsiTheme="minorHAnsi"/>
          <w:iCs w:val="0"/>
          <w:sz w:val="22"/>
          <w:szCs w:val="22"/>
        </w:rPr>
        <w:t>Détermination</w:t>
      </w:r>
      <w:r w:rsidRPr="00C376C0">
        <w:rPr>
          <w:rFonts w:asciiTheme="minorHAnsi" w:hAnsiTheme="minorHAnsi"/>
          <w:iCs w:val="0"/>
          <w:sz w:val="22"/>
          <w:szCs w:val="22"/>
        </w:rPr>
        <w:t xml:space="preserve"> de la dotation globalisée commune de </w:t>
      </w:r>
      <w:r w:rsidR="00780EDA">
        <w:rPr>
          <w:rFonts w:asciiTheme="minorHAnsi" w:hAnsiTheme="minorHAnsi"/>
          <w:iCs w:val="0"/>
          <w:sz w:val="22"/>
          <w:szCs w:val="22"/>
        </w:rPr>
        <w:t>référence</w:t>
      </w:r>
    </w:p>
    <w:p w:rsidR="00F0535C" w:rsidRPr="000F5BC1" w:rsidRDefault="00F0535C" w:rsidP="00F0535C">
      <w:pPr>
        <w:suppressAutoHyphens/>
        <w:jc w:val="both"/>
        <w:rPr>
          <w:rFonts w:eastAsia="SimSun" w:cs="Arial"/>
          <w:kern w:val="2"/>
          <w:lang w:eastAsia="hi-IN" w:bidi="hi-IN"/>
        </w:rPr>
      </w:pPr>
      <w:r w:rsidRPr="000F5BC1">
        <w:rPr>
          <w:rFonts w:eastAsia="SimSun" w:cs="Arial"/>
          <w:kern w:val="2"/>
          <w:lang w:eastAsia="hi-IN" w:bidi="hi-IN"/>
        </w:rPr>
        <w:t>La dotation globale commune de référence est élaborée à partir du diagnostic partagé au regard notamment de l'activité moyenne des trois dernières années, après examen des opportunités de redéploiements et/ou de réorganisation des moyens existants, dans la limite des dotations budgétaires attribuées l’année précédant la signature du CPOM hors crédits conjoncturels.</w:t>
      </w:r>
    </w:p>
    <w:p w:rsidR="00F0535C" w:rsidRPr="000F5BC1" w:rsidRDefault="00F0535C" w:rsidP="00F0535C">
      <w:pPr>
        <w:suppressAutoHyphens/>
        <w:ind w:firstLine="1"/>
        <w:jc w:val="both"/>
        <w:rPr>
          <w:rFonts w:eastAsia="SimSun" w:cs="Arial"/>
          <w:kern w:val="2"/>
          <w:lang w:eastAsia="hi-IN" w:bidi="hi-IN"/>
        </w:rPr>
      </w:pPr>
      <w:r w:rsidRPr="000F5BC1">
        <w:rPr>
          <w:rFonts w:eastAsia="SimSun" w:cs="Arial"/>
          <w:kern w:val="2"/>
          <w:lang w:eastAsia="hi-IN" w:bidi="hi-IN"/>
        </w:rPr>
        <w:t>Les crédits alloués par l’ARS Grand Est sont des montants maximum, garantis sous réserve que l’évolution de l’enveloppe nationale et celle de la dotation régionale le permettent.</w:t>
      </w:r>
    </w:p>
    <w:p w:rsidR="00F0535C" w:rsidRDefault="00F0535C" w:rsidP="00F0535C">
      <w:pPr>
        <w:suppressAutoHyphens/>
        <w:ind w:firstLine="1"/>
        <w:jc w:val="both"/>
        <w:rPr>
          <w:rFonts w:eastAsia="SimSun" w:cs="Arial"/>
          <w:kern w:val="2"/>
          <w:lang w:eastAsia="hi-IN" w:bidi="hi-IN"/>
        </w:rPr>
      </w:pPr>
      <w:r w:rsidRPr="000F5BC1">
        <w:rPr>
          <w:rFonts w:eastAsia="SimSun" w:cs="Arial"/>
          <w:kern w:val="2"/>
          <w:lang w:eastAsia="hi-IN" w:bidi="hi-IN"/>
        </w:rPr>
        <w:t xml:space="preserve">Une </w:t>
      </w:r>
      <w:r w:rsidRPr="000F5BC1">
        <w:rPr>
          <w:rFonts w:eastAsia="SimSun" w:cs="Arial"/>
          <w:b/>
          <w:bCs/>
          <w:kern w:val="2"/>
          <w:lang w:eastAsia="hi-IN" w:bidi="hi-IN"/>
        </w:rPr>
        <w:t xml:space="preserve">décision de tarification </w:t>
      </w:r>
      <w:r w:rsidRPr="000F5BC1">
        <w:rPr>
          <w:rFonts w:eastAsia="SimSun" w:cs="Arial"/>
          <w:kern w:val="2"/>
          <w:lang w:eastAsia="hi-IN" w:bidi="hi-IN"/>
        </w:rPr>
        <w:t xml:space="preserve">sera ensuite notifiée chaque année par l’ARS au gestionnaire. Il convient de rappeler que l’allocation budgétaire des </w:t>
      </w:r>
      <w:r w:rsidR="003D696F">
        <w:rPr>
          <w:rFonts w:eastAsia="SimSun" w:cs="Arial"/>
          <w:kern w:val="2"/>
          <w:lang w:eastAsia="hi-IN" w:bidi="hi-IN"/>
        </w:rPr>
        <w:t>ESMS</w:t>
      </w:r>
      <w:r w:rsidRPr="000F5BC1">
        <w:rPr>
          <w:rFonts w:eastAsia="SimSun" w:cs="Arial"/>
          <w:kern w:val="2"/>
          <w:lang w:eastAsia="hi-IN" w:bidi="hi-IN"/>
        </w:rPr>
        <w:t xml:space="preserve"> sous CPOM se fait en dehors du cadre de la procédure contradictoire budgétaire.</w:t>
      </w:r>
    </w:p>
    <w:p w:rsidR="00F42EEF" w:rsidRPr="00F42EEF" w:rsidRDefault="00F42EEF" w:rsidP="00F42EEF">
      <w:pPr>
        <w:suppressAutoHyphens/>
        <w:ind w:firstLine="1"/>
        <w:jc w:val="both"/>
        <w:rPr>
          <w:rFonts w:eastAsia="SimSun" w:cs="Arial"/>
          <w:kern w:val="1"/>
          <w:lang w:eastAsia="hi-IN" w:bidi="hi-IN"/>
        </w:rPr>
      </w:pPr>
      <w:r w:rsidRPr="00FB0990">
        <w:rPr>
          <w:rFonts w:eastAsia="SimSun" w:cs="Arial"/>
          <w:kern w:val="1"/>
          <w:lang w:eastAsia="hi-IN" w:bidi="hi-IN"/>
        </w:rPr>
        <w:t>Conformément à l’article R.314-40 du CASF, la base reconductible de l’ESAT du</w:t>
      </w:r>
      <w:r w:rsidRPr="00602F94">
        <w:rPr>
          <w:rFonts w:eastAsia="SimSun" w:cs="Arial"/>
          <w:kern w:val="1"/>
          <w:lang w:eastAsia="hi-IN" w:bidi="hi-IN"/>
        </w:rPr>
        <w:t xml:space="preserve"> gestionnaire</w:t>
      </w:r>
      <w:r w:rsidRPr="00FB0990">
        <w:rPr>
          <w:rFonts w:eastAsia="SimSun" w:cs="Arial"/>
          <w:kern w:val="1"/>
          <w:lang w:eastAsia="hi-IN" w:bidi="hi-IN"/>
        </w:rPr>
        <w:t xml:space="preserve"> se calculera chaque année en référence aux tarifs plafonds nationaux relatifs aux ESAT.</w:t>
      </w:r>
    </w:p>
    <w:p w:rsidR="00F0535C" w:rsidRPr="00E10F1D" w:rsidRDefault="00F0535C" w:rsidP="00F0535C">
      <w:pPr>
        <w:suppressAutoHyphens/>
        <w:ind w:firstLine="1"/>
        <w:jc w:val="both"/>
        <w:rPr>
          <w:rFonts w:eastAsia="SimSun" w:cs="Arial"/>
          <w:kern w:val="2"/>
          <w:lang w:eastAsia="hi-IN" w:bidi="hi-IN"/>
        </w:rPr>
      </w:pPr>
      <w:r w:rsidRPr="000F5BC1">
        <w:rPr>
          <w:rFonts w:eastAsia="SimSun" w:cs="Arial"/>
          <w:kern w:val="2"/>
          <w:lang w:eastAsia="hi-IN" w:bidi="hi-IN"/>
        </w:rPr>
        <w:t xml:space="preserve">Le gestionnaire pourra procéder par </w:t>
      </w:r>
      <w:r w:rsidRPr="00714B16">
        <w:rPr>
          <w:rFonts w:eastAsia="SimSun" w:cs="Arial"/>
          <w:kern w:val="2"/>
          <w:lang w:eastAsia="hi-IN" w:bidi="hi-IN"/>
        </w:rPr>
        <w:t>décision modificative</w:t>
      </w:r>
      <w:r w:rsidRPr="000F5BC1">
        <w:rPr>
          <w:rFonts w:eastAsia="SimSun" w:cs="Arial"/>
          <w:kern w:val="2"/>
          <w:lang w:eastAsia="hi-IN" w:bidi="hi-IN"/>
        </w:rPr>
        <w:t xml:space="preserve"> et avant détermination des résultats de chaque </w:t>
      </w:r>
      <w:r w:rsidR="00DC5E39">
        <w:rPr>
          <w:rFonts w:eastAsia="SimSun" w:cs="Arial"/>
          <w:kern w:val="2"/>
          <w:lang w:eastAsia="hi-IN" w:bidi="hi-IN"/>
        </w:rPr>
        <w:t>ESMS</w:t>
      </w:r>
      <w:r w:rsidRPr="000F5BC1">
        <w:rPr>
          <w:rFonts w:eastAsia="SimSun" w:cs="Arial"/>
          <w:kern w:val="2"/>
          <w:lang w:eastAsia="hi-IN" w:bidi="hi-IN"/>
        </w:rPr>
        <w:t xml:space="preserve"> concerné par le CPOM, à une nouvelle répartition de la dotation dans la limite du montant de celle-ci, des indicateurs réglementaires applicables aux </w:t>
      </w:r>
      <w:r w:rsidR="003D696F">
        <w:rPr>
          <w:rFonts w:eastAsia="SimSun" w:cs="Arial"/>
          <w:kern w:val="2"/>
          <w:lang w:eastAsia="hi-IN" w:bidi="hi-IN"/>
        </w:rPr>
        <w:t>ESMS</w:t>
      </w:r>
      <w:r w:rsidRPr="000F5BC1">
        <w:rPr>
          <w:rFonts w:eastAsia="SimSun" w:cs="Arial"/>
          <w:kern w:val="2"/>
          <w:lang w:eastAsia="hi-IN" w:bidi="hi-IN"/>
        </w:rPr>
        <w:t xml:space="preserve"> et uniquement concernant l’enveloppe </w:t>
      </w:r>
      <w:r>
        <w:rPr>
          <w:rFonts w:eastAsia="SimSun" w:cs="Arial"/>
          <w:kern w:val="2"/>
          <w:lang w:eastAsia="hi-IN" w:bidi="hi-IN"/>
        </w:rPr>
        <w:t>relevant du même financeur et du même financement</w:t>
      </w:r>
      <w:r w:rsidRPr="000F5BC1">
        <w:rPr>
          <w:rFonts w:eastAsia="SimSun" w:cs="Arial"/>
          <w:kern w:val="2"/>
          <w:lang w:eastAsia="hi-IN" w:bidi="hi-IN"/>
        </w:rPr>
        <w:t xml:space="preserve">. </w:t>
      </w:r>
      <w:r w:rsidRPr="00714B16">
        <w:rPr>
          <w:rFonts w:eastAsia="SimSun" w:cs="Arial"/>
          <w:kern w:val="2"/>
          <w:lang w:eastAsia="hi-IN" w:bidi="hi-IN"/>
        </w:rPr>
        <w:t xml:space="preserve">Cependant, conformément à l’article R.314-43-1 du CASF, ces transferts de dotations ne sont valables que pour l’exercice pour lequel ils sont réalisés quand au moins un des </w:t>
      </w:r>
      <w:r w:rsidR="003D696F">
        <w:rPr>
          <w:rFonts w:eastAsia="SimSun" w:cs="Arial"/>
          <w:kern w:val="2"/>
          <w:lang w:eastAsia="hi-IN" w:bidi="hi-IN"/>
        </w:rPr>
        <w:t>ESMS</w:t>
      </w:r>
      <w:r w:rsidRPr="00714B16">
        <w:rPr>
          <w:rFonts w:eastAsia="SimSun" w:cs="Arial"/>
          <w:kern w:val="2"/>
          <w:lang w:eastAsia="hi-IN" w:bidi="hi-IN"/>
        </w:rPr>
        <w:t xml:space="preserve"> concernés dispose de financements définis en fonction d’une équation tarifaire, algorithme ou tarif plafond.</w:t>
      </w:r>
    </w:p>
    <w:p w:rsidR="00F0535C" w:rsidRDefault="00F0535C" w:rsidP="00F0535C">
      <w:pPr>
        <w:autoSpaceDE w:val="0"/>
        <w:autoSpaceDN w:val="0"/>
        <w:adjustRightInd w:val="0"/>
        <w:jc w:val="both"/>
        <w:rPr>
          <w:rFonts w:eastAsia="PMingLiU" w:cs="Helvetica-Bold"/>
          <w:bCs/>
          <w:lang w:eastAsia="zh-TW"/>
        </w:rPr>
      </w:pPr>
      <w:r>
        <w:rPr>
          <w:rFonts w:eastAsia="PMingLiU" w:cs="Helvetica-Bold"/>
          <w:bCs/>
          <w:lang w:eastAsia="zh-TW"/>
        </w:rPr>
        <w:t xml:space="preserve">Lorsque la dotation globalisée financée par l’assurance maladie porte sur </w:t>
      </w:r>
      <w:r w:rsidR="00780EDA">
        <w:rPr>
          <w:rFonts w:eastAsia="PMingLiU" w:cs="Helvetica-Bold"/>
          <w:bCs/>
          <w:lang w:eastAsia="zh-TW"/>
        </w:rPr>
        <w:t xml:space="preserve">des </w:t>
      </w:r>
      <w:r w:rsidR="003D696F">
        <w:rPr>
          <w:rFonts w:eastAsia="PMingLiU" w:cs="Helvetica-Bold"/>
          <w:bCs/>
          <w:lang w:eastAsia="zh-TW"/>
        </w:rPr>
        <w:t>ESMS</w:t>
      </w:r>
      <w:r>
        <w:rPr>
          <w:rFonts w:eastAsia="PMingLiU" w:cs="Helvetica-Bold"/>
          <w:bCs/>
          <w:lang w:eastAsia="zh-TW"/>
        </w:rPr>
        <w:t xml:space="preserve"> implantés dans plusieurs départements d’une même région, la </w:t>
      </w:r>
      <w:r w:rsidRPr="005164DD">
        <w:rPr>
          <w:rFonts w:eastAsia="PMingLiU" w:cs="Helvetica-Bold"/>
          <w:b/>
          <w:bCs/>
          <w:lang w:eastAsia="zh-TW"/>
        </w:rPr>
        <w:t>caisse pivot unique</w:t>
      </w:r>
      <w:r>
        <w:rPr>
          <w:rFonts w:eastAsia="PMingLiU" w:cs="Helvetica-Bold"/>
          <w:bCs/>
          <w:lang w:eastAsia="zh-TW"/>
        </w:rPr>
        <w:t xml:space="preserve"> est la caisse de la circonscription d’implantation de la personne morale perceptrice lorsque celle-ci est implantée dans la région Grand Est. A défaut, elle fera l’objet d’une définition particulière dans le CPOM dan</w:t>
      </w:r>
      <w:r w:rsidR="00780EDA">
        <w:rPr>
          <w:rFonts w:eastAsia="PMingLiU" w:cs="Helvetica-Bold"/>
          <w:bCs/>
          <w:lang w:eastAsia="zh-TW"/>
        </w:rPr>
        <w:t>s les conditions fixées par le c</w:t>
      </w:r>
      <w:r>
        <w:rPr>
          <w:rFonts w:eastAsia="PMingLiU" w:cs="Helvetica-Bold"/>
          <w:bCs/>
          <w:lang w:eastAsia="zh-TW"/>
        </w:rPr>
        <w:t>ode de la sécurité sociale.</w:t>
      </w:r>
    </w:p>
    <w:p w:rsidR="00F0535C" w:rsidRDefault="00F0535C" w:rsidP="00F0535C">
      <w:pPr>
        <w:suppressAutoHyphens/>
        <w:jc w:val="both"/>
        <w:rPr>
          <w:rFonts w:eastAsia="SimSun" w:cs="Arial"/>
          <w:kern w:val="2"/>
          <w:lang w:eastAsia="hi-IN" w:bidi="hi-IN"/>
        </w:rPr>
      </w:pPr>
      <w:r w:rsidRPr="000F5BC1">
        <w:rPr>
          <w:rFonts w:eastAsia="SimSun" w:cs="Arial"/>
          <w:kern w:val="2"/>
          <w:lang w:eastAsia="hi-IN" w:bidi="hi-IN"/>
        </w:rPr>
        <w:t xml:space="preserve">La </w:t>
      </w:r>
      <w:r w:rsidRPr="000F5BC1">
        <w:rPr>
          <w:rFonts w:eastAsia="SimSun" w:cs="Arial"/>
          <w:b/>
          <w:kern w:val="2"/>
          <w:lang w:eastAsia="hi-IN" w:bidi="hi-IN"/>
        </w:rPr>
        <w:t>dotation globalisée commune de référence</w:t>
      </w:r>
      <w:r w:rsidRPr="000F5BC1">
        <w:rPr>
          <w:rFonts w:eastAsia="SimSun" w:cs="Arial"/>
          <w:kern w:val="2"/>
          <w:lang w:eastAsia="hi-IN" w:bidi="hi-IN"/>
        </w:rPr>
        <w:t xml:space="preserve"> </w:t>
      </w:r>
      <w:r w:rsidR="00780EDA" w:rsidRPr="00780EDA">
        <w:rPr>
          <w:rFonts w:eastAsia="SimSun" w:cs="Arial"/>
          <w:bCs/>
          <w:kern w:val="2"/>
          <w:lang w:eastAsia="hi-IN" w:bidi="hi-IN"/>
        </w:rPr>
        <w:t>des ESMS financés par l’assurance maladie</w:t>
      </w:r>
      <w:r w:rsidR="00780EDA" w:rsidRPr="00780EDA">
        <w:rPr>
          <w:rFonts w:eastAsia="SimSun" w:cs="Arial"/>
          <w:kern w:val="2"/>
          <w:lang w:eastAsia="hi-IN" w:bidi="hi-IN"/>
        </w:rPr>
        <w:t xml:space="preserve"> </w:t>
      </w:r>
      <w:r w:rsidR="00780EDA">
        <w:rPr>
          <w:rFonts w:eastAsia="SimSun" w:cs="Arial"/>
          <w:kern w:val="2"/>
          <w:lang w:eastAsia="hi-IN" w:bidi="hi-IN"/>
        </w:rPr>
        <w:t xml:space="preserve">du périmètre du présent CPOM </w:t>
      </w:r>
      <w:r w:rsidR="00780EDA" w:rsidRPr="000F5BC1">
        <w:rPr>
          <w:rFonts w:eastAsia="SimSun" w:cs="Arial"/>
          <w:kern w:val="2"/>
          <w:lang w:eastAsia="hi-IN" w:bidi="hi-IN"/>
        </w:rPr>
        <w:t xml:space="preserve">est de </w:t>
      </w:r>
      <w:r w:rsidR="00780EDA" w:rsidRPr="000F5BC1">
        <w:rPr>
          <w:rFonts w:eastAsia="SimSun" w:cs="Arial"/>
          <w:color w:val="C00000"/>
          <w:kern w:val="2"/>
          <w:lang w:eastAsia="hi-IN" w:bidi="hi-IN"/>
        </w:rPr>
        <w:t xml:space="preserve">XXXX </w:t>
      </w:r>
      <w:r w:rsidR="00780EDA" w:rsidRPr="000F5BC1">
        <w:rPr>
          <w:rFonts w:eastAsia="SimSun" w:cs="Arial"/>
          <w:kern w:val="2"/>
          <w:lang w:eastAsia="hi-IN" w:bidi="hi-IN"/>
        </w:rPr>
        <w:t>€ au 1</w:t>
      </w:r>
      <w:r w:rsidR="00780EDA" w:rsidRPr="000F5BC1">
        <w:rPr>
          <w:rFonts w:eastAsia="SimSun" w:cs="Arial"/>
          <w:kern w:val="2"/>
          <w:vertAlign w:val="superscript"/>
          <w:lang w:eastAsia="hi-IN" w:bidi="hi-IN"/>
        </w:rPr>
        <w:t>er</w:t>
      </w:r>
      <w:r w:rsidR="00780EDA" w:rsidRPr="000F5BC1">
        <w:rPr>
          <w:rFonts w:eastAsia="SimSun" w:cs="Arial"/>
          <w:kern w:val="2"/>
          <w:lang w:eastAsia="hi-IN" w:bidi="hi-IN"/>
        </w:rPr>
        <w:t xml:space="preserve"> janvier N </w:t>
      </w:r>
      <w:r w:rsidR="00780EDA">
        <w:rPr>
          <w:rFonts w:eastAsia="SimSun" w:cs="Arial"/>
          <w:kern w:val="2"/>
          <w:lang w:eastAsia="hi-IN" w:bidi="hi-IN"/>
        </w:rPr>
        <w:t>et</w:t>
      </w:r>
      <w:r w:rsidRPr="000F5BC1">
        <w:rPr>
          <w:rFonts w:eastAsia="SimSun" w:cs="Arial"/>
          <w:kern w:val="2"/>
          <w:lang w:eastAsia="hi-IN" w:bidi="hi-IN"/>
        </w:rPr>
        <w:t xml:space="preserve"> déf</w:t>
      </w:r>
      <w:r>
        <w:rPr>
          <w:rFonts w:eastAsia="SimSun" w:cs="Arial"/>
          <w:kern w:val="2"/>
          <w:lang w:eastAsia="hi-IN" w:bidi="hi-IN"/>
        </w:rPr>
        <w:t>inie comme suit</w:t>
      </w:r>
      <w:r w:rsidRPr="000F5BC1">
        <w:rPr>
          <w:rFonts w:eastAsia="SimSun" w:cs="Arial"/>
          <w:kern w:val="2"/>
          <w:lang w:eastAsia="hi-IN" w:bidi="hi-IN"/>
        </w:rPr>
        <w:t xml:space="preserve"> : </w:t>
      </w:r>
    </w:p>
    <w:tbl>
      <w:tblPr>
        <w:tblW w:w="7230" w:type="dxa"/>
        <w:tblInd w:w="108" w:type="dxa"/>
        <w:tblLayout w:type="fixed"/>
        <w:tblLook w:val="04A0" w:firstRow="1" w:lastRow="0" w:firstColumn="1" w:lastColumn="0" w:noHBand="0" w:noVBand="1"/>
      </w:tblPr>
      <w:tblGrid>
        <w:gridCol w:w="1276"/>
        <w:gridCol w:w="3827"/>
        <w:gridCol w:w="2127"/>
      </w:tblGrid>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hideMark/>
          </w:tcPr>
          <w:p w:rsidR="00DD681E" w:rsidRDefault="00DD681E">
            <w:pPr>
              <w:pStyle w:val="Default"/>
              <w:spacing w:line="276" w:lineRule="auto"/>
              <w:ind w:left="-57" w:right="-57"/>
              <w:jc w:val="center"/>
              <w:rPr>
                <w:rFonts w:ascii="Calibri" w:eastAsia="Times New Roman" w:hAnsi="Calibri"/>
                <w:b/>
                <w:color w:val="00B050"/>
                <w:sz w:val="22"/>
                <w:szCs w:val="22"/>
                <w:lang w:eastAsia="ar-SA"/>
              </w:rPr>
            </w:pPr>
            <w:r>
              <w:rPr>
                <w:rFonts w:ascii="Calibri" w:hAnsi="Calibri"/>
                <w:b/>
                <w:color w:val="auto"/>
                <w:sz w:val="22"/>
                <w:szCs w:val="22"/>
              </w:rPr>
              <w:t>N° FINESS ET</w:t>
            </w:r>
          </w:p>
        </w:tc>
        <w:tc>
          <w:tcPr>
            <w:tcW w:w="3827" w:type="dxa"/>
            <w:tcBorders>
              <w:top w:val="single" w:sz="4" w:space="0" w:color="000000"/>
              <w:left w:val="single" w:sz="4" w:space="0" w:color="000000"/>
              <w:bottom w:val="single" w:sz="4" w:space="0" w:color="000000"/>
              <w:right w:val="single" w:sz="4" w:space="0" w:color="000000"/>
            </w:tcBorders>
            <w:vAlign w:val="center"/>
            <w:hideMark/>
          </w:tcPr>
          <w:p w:rsidR="00DD681E" w:rsidRDefault="00DD681E">
            <w:pPr>
              <w:pStyle w:val="Default"/>
              <w:spacing w:line="276" w:lineRule="auto"/>
              <w:jc w:val="center"/>
              <w:rPr>
                <w:rFonts w:ascii="Calibri" w:eastAsia="Times New Roman" w:hAnsi="Calibri"/>
                <w:b/>
                <w:color w:val="00000A"/>
                <w:sz w:val="22"/>
                <w:szCs w:val="22"/>
                <w:lang w:eastAsia="ar-SA"/>
              </w:rPr>
            </w:pPr>
            <w:r>
              <w:rPr>
                <w:rFonts w:ascii="Calibri" w:hAnsi="Calibri"/>
                <w:b/>
                <w:color w:val="00000A"/>
                <w:sz w:val="22"/>
                <w:szCs w:val="22"/>
              </w:rPr>
              <w:t>Catégorie et raison sociale de l’ESMS</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DD681E" w:rsidRDefault="00DD681E">
            <w:pPr>
              <w:pStyle w:val="Default"/>
              <w:spacing w:line="276" w:lineRule="auto"/>
              <w:jc w:val="center"/>
              <w:rPr>
                <w:rFonts w:ascii="Calibri" w:eastAsia="Times New Roman" w:hAnsi="Calibri"/>
                <w:b/>
                <w:sz w:val="22"/>
                <w:szCs w:val="22"/>
                <w:lang w:eastAsia="ar-SA"/>
              </w:rPr>
            </w:pPr>
            <w:r>
              <w:rPr>
                <w:rFonts w:ascii="Calibri" w:hAnsi="Calibri"/>
                <w:b/>
                <w:sz w:val="22"/>
                <w:szCs w:val="22"/>
              </w:rPr>
              <w:t>Base reconductible au 01/01/N</w:t>
            </w:r>
          </w:p>
        </w:tc>
      </w:tr>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132"/>
              <w:jc w:val="right"/>
              <w:rPr>
                <w:rFonts w:ascii="Calibri" w:eastAsia="Times New Roman" w:hAnsi="Calibri"/>
                <w:color w:val="00000A"/>
                <w:sz w:val="22"/>
                <w:szCs w:val="22"/>
                <w:lang w:eastAsia="ar-SA"/>
              </w:rPr>
            </w:pPr>
          </w:p>
        </w:tc>
      </w:tr>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132"/>
              <w:jc w:val="right"/>
              <w:rPr>
                <w:rFonts w:ascii="Calibri" w:eastAsia="Times New Roman" w:hAnsi="Calibri"/>
                <w:color w:val="00000A"/>
                <w:sz w:val="22"/>
                <w:szCs w:val="22"/>
                <w:lang w:eastAsia="ar-SA"/>
              </w:rPr>
            </w:pPr>
          </w:p>
        </w:tc>
      </w:tr>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132"/>
              <w:jc w:val="right"/>
              <w:rPr>
                <w:rFonts w:ascii="Calibri" w:eastAsia="Times New Roman" w:hAnsi="Calibri"/>
                <w:color w:val="00000A"/>
                <w:sz w:val="22"/>
                <w:szCs w:val="22"/>
                <w:lang w:eastAsia="ar-SA"/>
              </w:rPr>
            </w:pPr>
          </w:p>
        </w:tc>
      </w:tr>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132"/>
              <w:jc w:val="right"/>
              <w:rPr>
                <w:rFonts w:ascii="Calibri" w:eastAsia="Times New Roman" w:hAnsi="Calibri"/>
                <w:color w:val="00000A"/>
                <w:sz w:val="22"/>
                <w:szCs w:val="22"/>
                <w:lang w:eastAsia="ar-SA"/>
              </w:rPr>
            </w:pPr>
          </w:p>
        </w:tc>
      </w:tr>
      <w:tr w:rsidR="00DD681E" w:rsidTr="00DD681E">
        <w:tc>
          <w:tcPr>
            <w:tcW w:w="1276"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57" w:right="-57"/>
              <w:rPr>
                <w:rFonts w:ascii="Calibri" w:eastAsia="Times New Roman" w:hAnsi="Calibri"/>
                <w:color w:val="auto"/>
                <w:sz w:val="22"/>
                <w:szCs w:val="22"/>
                <w:lang w:eastAsia="ar-SA"/>
              </w:rPr>
            </w:pPr>
          </w:p>
        </w:tc>
        <w:tc>
          <w:tcPr>
            <w:tcW w:w="38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right="-84"/>
              <w:rPr>
                <w:rFonts w:ascii="Calibri" w:eastAsia="Times New Roman" w:hAnsi="Calibri"/>
                <w:color w:val="00000A"/>
                <w:sz w:val="22"/>
                <w:szCs w:val="22"/>
                <w:lang w:eastAsia="ar-SA"/>
              </w:rPr>
            </w:pPr>
          </w:p>
        </w:tc>
        <w:tc>
          <w:tcPr>
            <w:tcW w:w="2127" w:type="dxa"/>
            <w:tcBorders>
              <w:top w:val="single" w:sz="4" w:space="0" w:color="000000"/>
              <w:left w:val="single" w:sz="4" w:space="0" w:color="000000"/>
              <w:bottom w:val="single" w:sz="4" w:space="0" w:color="000000"/>
              <w:right w:val="single" w:sz="4" w:space="0" w:color="000000"/>
            </w:tcBorders>
            <w:vAlign w:val="center"/>
          </w:tcPr>
          <w:p w:rsidR="00DD681E" w:rsidRDefault="00DD681E">
            <w:pPr>
              <w:pStyle w:val="Default"/>
              <w:spacing w:line="276" w:lineRule="auto"/>
              <w:ind w:left="-132"/>
              <w:jc w:val="right"/>
              <w:rPr>
                <w:rFonts w:ascii="Calibri" w:eastAsia="Times New Roman" w:hAnsi="Calibri"/>
                <w:color w:val="00000A"/>
                <w:sz w:val="22"/>
                <w:szCs w:val="22"/>
                <w:lang w:eastAsia="ar-SA"/>
              </w:rPr>
            </w:pPr>
          </w:p>
        </w:tc>
      </w:tr>
      <w:tr w:rsidR="00DD681E" w:rsidTr="00DD681E">
        <w:tc>
          <w:tcPr>
            <w:tcW w:w="5103" w:type="dxa"/>
            <w:gridSpan w:val="2"/>
            <w:tcBorders>
              <w:top w:val="single" w:sz="4" w:space="0" w:color="000000"/>
              <w:left w:val="single" w:sz="4" w:space="0" w:color="000000"/>
              <w:bottom w:val="single" w:sz="4" w:space="0" w:color="000000"/>
              <w:right w:val="single" w:sz="4" w:space="0" w:color="000000"/>
            </w:tcBorders>
            <w:vAlign w:val="center"/>
            <w:hideMark/>
          </w:tcPr>
          <w:p w:rsidR="00DD681E" w:rsidRDefault="00DD681E">
            <w:pPr>
              <w:pStyle w:val="Default"/>
              <w:spacing w:line="276" w:lineRule="auto"/>
              <w:jc w:val="center"/>
              <w:rPr>
                <w:rFonts w:ascii="Calibri" w:eastAsia="Times New Roman" w:hAnsi="Calibri"/>
                <w:b/>
                <w:color w:val="00000A"/>
                <w:sz w:val="22"/>
                <w:szCs w:val="22"/>
                <w:lang w:eastAsia="ar-SA"/>
              </w:rPr>
            </w:pPr>
            <w:r>
              <w:rPr>
                <w:rFonts w:ascii="Calibri" w:hAnsi="Calibri"/>
                <w:b/>
                <w:color w:val="00000A"/>
                <w:sz w:val="22"/>
                <w:szCs w:val="22"/>
              </w:rPr>
              <w:lastRenderedPageBreak/>
              <w:t>TOTAL</w:t>
            </w:r>
          </w:p>
        </w:tc>
        <w:tc>
          <w:tcPr>
            <w:tcW w:w="2127" w:type="dxa"/>
            <w:tcBorders>
              <w:top w:val="single" w:sz="4" w:space="0" w:color="000000"/>
              <w:left w:val="single" w:sz="4" w:space="0" w:color="000000"/>
              <w:bottom w:val="single" w:sz="4" w:space="0" w:color="000000"/>
              <w:right w:val="single" w:sz="4" w:space="0" w:color="000000"/>
            </w:tcBorders>
            <w:vAlign w:val="center"/>
            <w:hideMark/>
          </w:tcPr>
          <w:p w:rsidR="00DD681E" w:rsidRDefault="00DD681E">
            <w:pPr>
              <w:pStyle w:val="Default"/>
              <w:spacing w:line="276" w:lineRule="auto"/>
              <w:ind w:left="-132"/>
              <w:jc w:val="right"/>
              <w:rPr>
                <w:rFonts w:ascii="Calibri" w:eastAsia="Times New Roman" w:hAnsi="Calibri"/>
                <w:b/>
                <w:color w:val="00000A"/>
                <w:sz w:val="22"/>
                <w:szCs w:val="22"/>
                <w:lang w:eastAsia="ar-SA"/>
              </w:rPr>
            </w:pPr>
            <w:r>
              <w:rPr>
                <w:rFonts w:ascii="Calibri" w:hAnsi="Calibri"/>
                <w:b/>
                <w:color w:val="00000A"/>
                <w:sz w:val="22"/>
                <w:szCs w:val="22"/>
              </w:rPr>
              <w:fldChar w:fldCharType="begin"/>
            </w:r>
            <w:r>
              <w:rPr>
                <w:rFonts w:ascii="Calibri" w:hAnsi="Calibri"/>
                <w:b/>
                <w:color w:val="00000A"/>
                <w:sz w:val="22"/>
                <w:szCs w:val="22"/>
              </w:rPr>
              <w:instrText xml:space="preserve"> =SUM(ABOVE) \# "# ##0,00 €;(# ##0,00 €)" </w:instrText>
            </w:r>
            <w:r>
              <w:rPr>
                <w:rFonts w:ascii="Calibri" w:hAnsi="Calibri"/>
                <w:b/>
                <w:color w:val="00000A"/>
                <w:sz w:val="22"/>
                <w:szCs w:val="22"/>
              </w:rPr>
              <w:fldChar w:fldCharType="separate"/>
            </w:r>
            <w:r>
              <w:rPr>
                <w:rFonts w:ascii="Calibri" w:hAnsi="Calibri"/>
                <w:b/>
                <w:noProof/>
                <w:color w:val="00000A"/>
                <w:sz w:val="22"/>
                <w:szCs w:val="22"/>
              </w:rPr>
              <w:t xml:space="preserve">   0,00 €</w:t>
            </w:r>
            <w:r>
              <w:rPr>
                <w:rFonts w:ascii="Calibri" w:hAnsi="Calibri"/>
                <w:b/>
                <w:color w:val="00000A"/>
                <w:sz w:val="22"/>
                <w:szCs w:val="22"/>
              </w:rPr>
              <w:fldChar w:fldCharType="end"/>
            </w:r>
          </w:p>
        </w:tc>
      </w:tr>
    </w:tbl>
    <w:p w:rsidR="00F0535C" w:rsidRPr="000F5BC1" w:rsidRDefault="00DD681E" w:rsidP="00F0535C">
      <w:pPr>
        <w:autoSpaceDE w:val="0"/>
        <w:autoSpaceDN w:val="0"/>
        <w:adjustRightInd w:val="0"/>
        <w:jc w:val="both"/>
        <w:rPr>
          <w:rFonts w:eastAsia="SimSun" w:cs="Arial"/>
          <w:kern w:val="2"/>
          <w:lang w:eastAsia="hi-IN" w:bidi="hi-IN"/>
        </w:rPr>
      </w:pPr>
      <w:r>
        <w:rPr>
          <w:rFonts w:eastAsia="Times New Roman" w:cs="Helvetica-Bold"/>
          <w:bCs/>
          <w:lang w:eastAsia="zh-TW"/>
        </w:rPr>
        <w:br/>
      </w:r>
      <w:r w:rsidR="00F0535C" w:rsidRPr="000F5BC1">
        <w:rPr>
          <w:rFonts w:eastAsia="Times New Roman" w:cs="Helvetica-Bold"/>
          <w:bCs/>
          <w:lang w:eastAsia="zh-TW"/>
        </w:rPr>
        <w:t xml:space="preserve">Elle est versée </w:t>
      </w:r>
      <w:r w:rsidR="00F0535C">
        <w:rPr>
          <w:rFonts w:eastAsia="Times New Roman" w:cs="Helvetica-Bold"/>
          <w:bCs/>
          <w:lang w:eastAsia="zh-TW"/>
        </w:rPr>
        <w:t>selon les modalités prévues à l’article R314-107 du code de l’action sociale et des familles.</w:t>
      </w:r>
    </w:p>
    <w:p w:rsidR="00F0535C" w:rsidRDefault="00F0535C" w:rsidP="00F0535C">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7.2 Evolution de la dotation globalisée commune de référence</w:t>
      </w:r>
    </w:p>
    <w:p w:rsidR="00F0535C" w:rsidRPr="000F5BC1" w:rsidRDefault="00F0535C" w:rsidP="00F0535C">
      <w:pPr>
        <w:suppressAutoHyphens/>
        <w:ind w:firstLine="1"/>
        <w:jc w:val="both"/>
        <w:rPr>
          <w:rFonts w:eastAsia="SimSun" w:cs="Arial"/>
          <w:kern w:val="2"/>
          <w:lang w:eastAsia="hi-IN" w:bidi="hi-IN"/>
        </w:rPr>
      </w:pPr>
      <w:r w:rsidRPr="000F5BC1">
        <w:rPr>
          <w:rFonts w:eastAsia="SimSun" w:cs="Arial"/>
          <w:kern w:val="2"/>
          <w:lang w:eastAsia="hi-IN" w:bidi="hi-IN"/>
        </w:rPr>
        <w:t xml:space="preserve">Cette dotation sera actualisée chaque année en fonction des orientations budgétaires arrêtées dans le rapport d’orientation budgétaire établi annuellement </w:t>
      </w:r>
      <w:r>
        <w:rPr>
          <w:rFonts w:eastAsia="SimSun" w:cs="Arial"/>
          <w:kern w:val="2"/>
          <w:lang w:eastAsia="hi-IN" w:bidi="hi-IN"/>
        </w:rPr>
        <w:t>par l’A</w:t>
      </w:r>
      <w:r w:rsidR="003604E5">
        <w:rPr>
          <w:rFonts w:eastAsia="SimSun" w:cs="Arial"/>
          <w:kern w:val="2"/>
          <w:lang w:eastAsia="hi-IN" w:bidi="hi-IN"/>
        </w:rPr>
        <w:t>RS</w:t>
      </w:r>
      <w:r w:rsidR="001E148F">
        <w:rPr>
          <w:rFonts w:eastAsia="SimSun" w:cs="Arial"/>
          <w:kern w:val="2"/>
          <w:lang w:eastAsia="hi-IN" w:bidi="hi-IN"/>
        </w:rPr>
        <w:t>.</w:t>
      </w:r>
      <w:r w:rsidR="003F40A3">
        <w:rPr>
          <w:rFonts w:eastAsia="SimSun" w:cs="Arial"/>
          <w:kern w:val="2"/>
          <w:lang w:eastAsia="hi-IN" w:bidi="hi-IN"/>
        </w:rPr>
        <w:t xml:space="preserve"> </w:t>
      </w:r>
      <w:r w:rsidRPr="000F5BC1">
        <w:rPr>
          <w:rFonts w:eastAsia="SimSun" w:cs="Arial"/>
          <w:kern w:val="2"/>
          <w:lang w:eastAsia="hi-IN" w:bidi="hi-IN"/>
        </w:rPr>
        <w:t xml:space="preserve">Ce taux d’évolution n’est donc pas nécessairement uniforme entre plusieurs </w:t>
      </w:r>
      <w:r w:rsidR="003D696F">
        <w:rPr>
          <w:rFonts w:eastAsia="SimSun" w:cs="Arial"/>
          <w:kern w:val="2"/>
          <w:lang w:eastAsia="hi-IN" w:bidi="hi-IN"/>
        </w:rPr>
        <w:t xml:space="preserve">ESMS </w:t>
      </w:r>
      <w:r w:rsidRPr="000F5BC1">
        <w:rPr>
          <w:rFonts w:eastAsia="SimSun" w:cs="Arial"/>
          <w:kern w:val="2"/>
          <w:lang w:eastAsia="hi-IN" w:bidi="hi-IN"/>
        </w:rPr>
        <w:t xml:space="preserve">du même CPOM. </w:t>
      </w:r>
    </w:p>
    <w:p w:rsidR="00780EDA" w:rsidRPr="00A044FB" w:rsidRDefault="00780EDA" w:rsidP="00780EDA">
      <w:pPr>
        <w:suppressAutoHyphens/>
        <w:autoSpaceDE w:val="0"/>
        <w:autoSpaceDN w:val="0"/>
        <w:adjustRightInd w:val="0"/>
        <w:jc w:val="both"/>
        <w:rPr>
          <w:rFonts w:eastAsia="PMingLiU" w:cs="Helvetica-Bold"/>
          <w:bCs/>
          <w:lang w:eastAsia="zh-TW"/>
        </w:rPr>
      </w:pPr>
      <w:r w:rsidRPr="00A044FB">
        <w:rPr>
          <w:rFonts w:eastAsia="PMingLiU" w:cs="Arial"/>
          <w:bCs/>
          <w:kern w:val="2"/>
          <w:lang w:eastAsia="zh-TW" w:bidi="hi-IN"/>
        </w:rPr>
        <w:t>Par ailleurs,</w:t>
      </w:r>
      <w:r w:rsidRPr="00A044FB">
        <w:rPr>
          <w:rFonts w:eastAsia="PMingLiU" w:cs="Arial"/>
          <w:b/>
          <w:bCs/>
          <w:kern w:val="2"/>
          <w:lang w:eastAsia="zh-TW" w:bidi="hi-IN"/>
        </w:rPr>
        <w:t xml:space="preserve"> </w:t>
      </w:r>
      <w:r w:rsidRPr="00A044FB">
        <w:rPr>
          <w:rFonts w:eastAsia="PMingLiU" w:cs="Arial"/>
          <w:bCs/>
          <w:kern w:val="2"/>
          <w:lang w:eastAsia="zh-TW" w:bidi="hi-IN"/>
        </w:rPr>
        <w:t>c</w:t>
      </w:r>
      <w:r w:rsidRPr="00A044FB">
        <w:rPr>
          <w:rFonts w:eastAsia="SimSun" w:cs="Mangal"/>
          <w:kern w:val="2"/>
          <w:lang w:eastAsia="hi-IN" w:bidi="hi-IN"/>
        </w:rPr>
        <w:t xml:space="preserve">onformément aux articles R. 314-236 et </w:t>
      </w:r>
      <w:r w:rsidRPr="00A044FB">
        <w:rPr>
          <w:rFonts w:eastAsia="PMingLiU" w:cs="Helvetica-Bold"/>
          <w:bCs/>
          <w:lang w:eastAsia="zh-TW"/>
        </w:rPr>
        <w:t>L. 313-14-2 du CASF, l’ARS pourra demander la récupération de certains montants dès lors qu’elle constate :</w:t>
      </w:r>
    </w:p>
    <w:p w:rsidR="00780EDA" w:rsidRPr="00A044FB" w:rsidRDefault="00780EDA" w:rsidP="00780EDA">
      <w:pPr>
        <w:pStyle w:val="Paragraphedeliste"/>
        <w:numPr>
          <w:ilvl w:val="0"/>
          <w:numId w:val="35"/>
        </w:numPr>
        <w:autoSpaceDE w:val="0"/>
        <w:autoSpaceDN w:val="0"/>
        <w:adjustRightInd w:val="0"/>
        <w:jc w:val="both"/>
        <w:rPr>
          <w:rFonts w:eastAsia="PMingLiU" w:cs="Helvetica-Bold"/>
          <w:bCs/>
          <w:lang w:eastAsia="zh-TW"/>
        </w:rPr>
      </w:pPr>
      <w:r w:rsidRPr="00A044FB">
        <w:rPr>
          <w:rFonts w:eastAsia="PMingLiU" w:cs="Helvetica-Bold"/>
          <w:bCs/>
          <w:lang w:eastAsia="zh-TW"/>
        </w:rPr>
        <w:t xml:space="preserve">Des dépenses sans rapport ou manifestement hors de proportion avec le service rendu ou avec les coûts des ESMS fournissant des prestations comparables en termes de qualité de prise en charge ou d’accompagnement ; </w:t>
      </w:r>
    </w:p>
    <w:p w:rsidR="00780EDA" w:rsidRPr="00A044FB" w:rsidRDefault="00780EDA" w:rsidP="00780EDA">
      <w:pPr>
        <w:pStyle w:val="Paragraphedeliste"/>
        <w:numPr>
          <w:ilvl w:val="0"/>
          <w:numId w:val="35"/>
        </w:numPr>
        <w:autoSpaceDE w:val="0"/>
        <w:autoSpaceDN w:val="0"/>
        <w:adjustRightInd w:val="0"/>
        <w:jc w:val="both"/>
        <w:rPr>
          <w:rFonts w:eastAsia="PMingLiU" w:cs="Helvetica-Bold"/>
          <w:bCs/>
          <w:lang w:eastAsia="zh-TW"/>
        </w:rPr>
      </w:pPr>
      <w:r w:rsidRPr="00A044FB">
        <w:rPr>
          <w:rFonts w:eastAsia="PMingLiU" w:cs="Helvetica-Bold"/>
          <w:bCs/>
          <w:lang w:eastAsia="zh-TW"/>
        </w:rPr>
        <w:t>Des recettes non comptabilisées.</w:t>
      </w:r>
    </w:p>
    <w:p w:rsidR="00780EDA" w:rsidRPr="000F5BC1" w:rsidRDefault="00780EDA" w:rsidP="00780EDA">
      <w:pPr>
        <w:autoSpaceDE w:val="0"/>
        <w:autoSpaceDN w:val="0"/>
        <w:adjustRightInd w:val="0"/>
        <w:jc w:val="both"/>
        <w:rPr>
          <w:rFonts w:eastAsia="SimSun" w:cs="Mangal"/>
          <w:kern w:val="2"/>
          <w:lang w:eastAsia="hi-IN" w:bidi="hi-IN"/>
        </w:rPr>
      </w:pPr>
      <w:r w:rsidRPr="000F5BC1">
        <w:rPr>
          <w:rFonts w:eastAsia="PMingLiU" w:cs="Helvetica-Bold"/>
          <w:bCs/>
          <w:lang w:eastAsia="zh-TW"/>
        </w:rPr>
        <w:t xml:space="preserve">Cette récupération viendra en déduction </w:t>
      </w:r>
      <w:r w:rsidR="003604E5">
        <w:rPr>
          <w:rFonts w:eastAsia="PMingLiU" w:cs="Helvetica-Bold"/>
          <w:bCs/>
          <w:lang w:eastAsia="zh-TW"/>
        </w:rPr>
        <w:t>de la tarification</w:t>
      </w:r>
      <w:r w:rsidRPr="000F5BC1">
        <w:rPr>
          <w:rFonts w:eastAsia="PMingLiU" w:cs="Helvetica-Bold"/>
          <w:bCs/>
          <w:lang w:eastAsia="zh-TW"/>
        </w:rPr>
        <w:t xml:space="preserve"> de l'exercice au cours duquel le montant à récupérer est constaté, ou de l'exercice qui suit.</w:t>
      </w:r>
    </w:p>
    <w:p w:rsidR="00F0535C" w:rsidRPr="000F5BC1" w:rsidRDefault="00F0535C" w:rsidP="00F0535C">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7.3 Modalités d'affectation des résultats comptables</w:t>
      </w:r>
    </w:p>
    <w:p w:rsidR="00FB0990" w:rsidRDefault="008856F0" w:rsidP="008856F0">
      <w:pPr>
        <w:widowControl w:val="0"/>
        <w:jc w:val="both"/>
        <w:rPr>
          <w:rFonts w:cs="Arial"/>
          <w:strike/>
          <w:color w:val="000000"/>
          <w:lang w:eastAsia="hi-IN" w:bidi="hi-IN"/>
        </w:rPr>
      </w:pPr>
      <w:r w:rsidRPr="008856F0">
        <w:rPr>
          <w:rFonts w:eastAsia="SimSun" w:cs="Arial"/>
          <w:kern w:val="2"/>
          <w:lang w:eastAsia="hi-IN" w:bidi="hi-IN"/>
        </w:rPr>
        <w:t xml:space="preserve">Le gestionnaire est libre d’affecter à la fin de chaque exercice, </w:t>
      </w:r>
      <w:r w:rsidRPr="00FB0990">
        <w:rPr>
          <w:rFonts w:eastAsia="SimSun" w:cs="Arial"/>
          <w:kern w:val="2"/>
          <w:lang w:eastAsia="hi-IN" w:bidi="hi-IN"/>
        </w:rPr>
        <w:t>« </w:t>
      </w:r>
      <w:r w:rsidRPr="009F37B7">
        <w:rPr>
          <w:rFonts w:eastAsia="SimSun" w:cs="Arial"/>
          <w:kern w:val="2"/>
          <w:u w:val="single"/>
          <w:lang w:eastAsia="hi-IN" w:bidi="hi-IN"/>
        </w:rPr>
        <w:t>hors amendements CRETON</w:t>
      </w:r>
      <w:r w:rsidRPr="00FB0990">
        <w:rPr>
          <w:rFonts w:eastAsia="SimSun" w:cs="Arial"/>
          <w:kern w:val="2"/>
          <w:lang w:eastAsia="hi-IN" w:bidi="hi-IN"/>
        </w:rPr>
        <w:t> »,</w:t>
      </w:r>
      <w:r w:rsidRPr="008856F0">
        <w:rPr>
          <w:rFonts w:eastAsia="SimSun" w:cs="Arial"/>
          <w:kern w:val="2"/>
          <w:lang w:eastAsia="hi-IN" w:bidi="hi-IN"/>
        </w:rPr>
        <w:t xml:space="preserve"> ses résultats</w:t>
      </w:r>
      <w:r w:rsidR="00676319">
        <w:rPr>
          <w:rFonts w:eastAsia="SimSun" w:cs="Arial"/>
          <w:kern w:val="2"/>
          <w:lang w:eastAsia="hi-IN" w:bidi="hi-IN"/>
        </w:rPr>
        <w:t xml:space="preserve"> </w:t>
      </w:r>
      <w:r w:rsidR="00676319" w:rsidRPr="00FB0990">
        <w:rPr>
          <w:rFonts w:eastAsia="SimSun" w:cs="Arial"/>
          <w:kern w:val="2"/>
          <w:lang w:eastAsia="hi-IN" w:bidi="hi-IN"/>
        </w:rPr>
        <w:t>en lien avec les objectifs du CPOM</w:t>
      </w:r>
      <w:r w:rsidR="008449DE">
        <w:rPr>
          <w:rFonts w:eastAsia="SimSun" w:cs="Arial"/>
          <w:kern w:val="2"/>
          <w:lang w:eastAsia="hi-IN" w:bidi="hi-IN"/>
        </w:rPr>
        <w:t xml:space="preserve"> ; ils sont </w:t>
      </w:r>
      <w:r w:rsidR="008449DE">
        <w:rPr>
          <w:rFonts w:cs="Arial"/>
          <w:color w:val="000000"/>
          <w:lang w:eastAsia="hi-IN" w:bidi="hi-IN"/>
        </w:rPr>
        <w:t xml:space="preserve">affectés </w:t>
      </w:r>
      <w:r w:rsidR="008449DE">
        <w:rPr>
          <w:rFonts w:eastAsia="SimSun" w:cs="Arial"/>
          <w:kern w:val="2"/>
          <w:lang w:eastAsia="hi-IN" w:bidi="hi-IN"/>
        </w:rPr>
        <w:t>aux comptes de résultats dont les résultats sont issus.</w:t>
      </w:r>
      <w:r w:rsidRPr="008856F0">
        <w:rPr>
          <w:rFonts w:cs="Arial"/>
          <w:color w:val="000000"/>
          <w:lang w:eastAsia="hi-IN" w:bidi="hi-IN"/>
        </w:rPr>
        <w:t xml:space="preserve"> </w:t>
      </w:r>
    </w:p>
    <w:p w:rsidR="008856F0" w:rsidRPr="008856F0" w:rsidRDefault="00676319" w:rsidP="008856F0">
      <w:pPr>
        <w:widowControl w:val="0"/>
        <w:jc w:val="both"/>
        <w:rPr>
          <w:rFonts w:cs="Arial"/>
          <w:b/>
          <w:bCs/>
          <w:color w:val="000000"/>
          <w:lang w:eastAsia="hi-IN" w:bidi="hi-IN"/>
        </w:rPr>
      </w:pPr>
      <w:r w:rsidRPr="00FB0990">
        <w:rPr>
          <w:rFonts w:cs="Arial"/>
          <w:color w:val="000000"/>
          <w:lang w:eastAsia="hi-IN" w:bidi="hi-IN"/>
        </w:rPr>
        <w:t>L</w:t>
      </w:r>
      <w:r w:rsidR="008856F0" w:rsidRPr="00FB0990">
        <w:rPr>
          <w:rFonts w:cs="Arial"/>
          <w:lang w:eastAsia="hi-IN" w:bidi="hi-IN"/>
        </w:rPr>
        <w:t>’a</w:t>
      </w:r>
      <w:r w:rsidR="008856F0" w:rsidRPr="008856F0">
        <w:rPr>
          <w:rFonts w:cs="Arial"/>
          <w:lang w:eastAsia="hi-IN" w:bidi="hi-IN"/>
        </w:rPr>
        <w:t>ffectation des résultats</w:t>
      </w:r>
      <w:r>
        <w:rPr>
          <w:rFonts w:cs="Arial"/>
          <w:lang w:eastAsia="hi-IN" w:bidi="hi-IN"/>
        </w:rPr>
        <w:t xml:space="preserve"> </w:t>
      </w:r>
      <w:r w:rsidRPr="00FB0990">
        <w:rPr>
          <w:rFonts w:cs="Arial"/>
          <w:lang w:eastAsia="hi-IN" w:bidi="hi-IN"/>
        </w:rPr>
        <w:t>par le gestionnaire</w:t>
      </w:r>
      <w:r w:rsidR="008856F0" w:rsidRPr="008856F0">
        <w:rPr>
          <w:rFonts w:cs="Arial"/>
          <w:lang w:eastAsia="hi-IN" w:bidi="hi-IN"/>
        </w:rPr>
        <w:t xml:space="preserve"> devra s’effectuer en fonction des moyens et actions à mettre en œuvre pour atteindre les objectifs fixés dans ce contrat. Il est également tenu compte des projets d’investissement du gestionnaire.</w:t>
      </w:r>
    </w:p>
    <w:p w:rsidR="00780EDA" w:rsidRPr="00FB0990" w:rsidRDefault="00780EDA" w:rsidP="00780EDA">
      <w:pPr>
        <w:pStyle w:val="Paragraphedeliste"/>
        <w:numPr>
          <w:ilvl w:val="0"/>
          <w:numId w:val="34"/>
        </w:numPr>
        <w:suppressAutoHyphens/>
        <w:jc w:val="both"/>
        <w:rPr>
          <w:rFonts w:eastAsia="SimSun" w:cs="Arial"/>
          <w:kern w:val="2"/>
          <w:lang w:eastAsia="hi-IN" w:bidi="hi-IN"/>
        </w:rPr>
      </w:pPr>
      <w:r w:rsidRPr="00FB0990">
        <w:rPr>
          <w:rFonts w:eastAsia="SimSun" w:cs="Arial"/>
          <w:b/>
          <w:kern w:val="2"/>
          <w:lang w:eastAsia="hi-IN" w:bidi="hi-IN"/>
        </w:rPr>
        <w:t xml:space="preserve">Affectation des résultats excédentaires : </w:t>
      </w:r>
    </w:p>
    <w:p w:rsidR="00F0535C" w:rsidRPr="00FB0990" w:rsidRDefault="00780EDA" w:rsidP="00F0535C">
      <w:pPr>
        <w:suppressAutoHyphens/>
        <w:jc w:val="both"/>
        <w:rPr>
          <w:rFonts w:eastAsia="SimSun" w:cs="Arial"/>
          <w:kern w:val="2"/>
          <w:lang w:eastAsia="hi-IN" w:bidi="hi-IN"/>
        </w:rPr>
      </w:pPr>
      <w:r w:rsidRPr="00FB0990">
        <w:rPr>
          <w:rFonts w:eastAsia="SimSun" w:cs="Arial"/>
          <w:kern w:val="2"/>
          <w:lang w:eastAsia="hi-IN" w:bidi="hi-IN"/>
        </w:rPr>
        <w:t>L</w:t>
      </w:r>
      <w:r w:rsidR="00F0535C" w:rsidRPr="00FB0990">
        <w:rPr>
          <w:rFonts w:eastAsia="SimSun" w:cs="Arial"/>
          <w:kern w:val="2"/>
          <w:lang w:eastAsia="hi-IN" w:bidi="hi-IN"/>
        </w:rPr>
        <w:t xml:space="preserve">e gestionnaire devra veiller chaque année à affecter une partie des résultats : </w:t>
      </w:r>
    </w:p>
    <w:p w:rsidR="00F0535C" w:rsidRPr="00FB0990" w:rsidRDefault="00F0535C" w:rsidP="00F0535C">
      <w:pPr>
        <w:pStyle w:val="Paragraphedeliste"/>
        <w:numPr>
          <w:ilvl w:val="0"/>
          <w:numId w:val="21"/>
        </w:numPr>
        <w:suppressAutoHyphens/>
        <w:jc w:val="both"/>
        <w:rPr>
          <w:rFonts w:eastAsia="SimSun" w:cs="Arial"/>
          <w:kern w:val="2"/>
          <w:lang w:eastAsia="hi-IN" w:bidi="hi-IN"/>
        </w:rPr>
      </w:pPr>
      <w:r w:rsidRPr="00FB0990">
        <w:rPr>
          <w:rFonts w:eastAsia="SimSun" w:cs="Arial"/>
          <w:kern w:val="2"/>
          <w:lang w:eastAsia="hi-IN" w:bidi="hi-IN"/>
        </w:rPr>
        <w:t>En priorité à l’apurement des déficits antérieurs</w:t>
      </w:r>
      <w:r w:rsidR="00C376C0" w:rsidRPr="00FB0990">
        <w:rPr>
          <w:rFonts w:eastAsia="SimSun" w:cs="Arial"/>
          <w:kern w:val="2"/>
          <w:lang w:eastAsia="hi-IN" w:bidi="hi-IN"/>
        </w:rPr>
        <w:t> ;</w:t>
      </w:r>
    </w:p>
    <w:p w:rsidR="00F0535C" w:rsidRPr="00FB0990" w:rsidRDefault="00F0535C" w:rsidP="00F0535C">
      <w:pPr>
        <w:pStyle w:val="Paragraphedeliste"/>
        <w:numPr>
          <w:ilvl w:val="0"/>
          <w:numId w:val="21"/>
        </w:numPr>
        <w:suppressAutoHyphens/>
        <w:jc w:val="both"/>
        <w:rPr>
          <w:rFonts w:eastAsia="SimSun" w:cs="Arial"/>
          <w:kern w:val="2"/>
          <w:lang w:eastAsia="hi-IN" w:bidi="hi-IN"/>
        </w:rPr>
      </w:pPr>
      <w:r w:rsidRPr="00FB0990">
        <w:rPr>
          <w:rFonts w:eastAsia="SimSun" w:cs="Arial"/>
          <w:kern w:val="2"/>
          <w:lang w:eastAsia="hi-IN" w:bidi="hi-IN"/>
        </w:rPr>
        <w:t>à la réserve de compensation des déficits ou au compte de report à nouveau selon un montant défini en amont à</w:t>
      </w:r>
      <w:r w:rsidR="00FB0990" w:rsidRPr="00FB0990">
        <w:rPr>
          <w:rFonts w:eastAsia="SimSun" w:cs="Arial"/>
          <w:kern w:val="2"/>
          <w:lang w:eastAsia="hi-IN" w:bidi="hi-IN"/>
        </w:rPr>
        <w:t xml:space="preserve"> partir du diagnostic financier ;</w:t>
      </w:r>
    </w:p>
    <w:p w:rsidR="00F0535C" w:rsidRPr="00FB0990" w:rsidRDefault="00F0535C" w:rsidP="00F0535C">
      <w:pPr>
        <w:pStyle w:val="Paragraphedeliste"/>
        <w:numPr>
          <w:ilvl w:val="0"/>
          <w:numId w:val="21"/>
        </w:numPr>
        <w:autoSpaceDE w:val="0"/>
        <w:autoSpaceDN w:val="0"/>
        <w:adjustRightInd w:val="0"/>
        <w:jc w:val="both"/>
        <w:rPr>
          <w:rFonts w:eastAsia="PMingLiU" w:cs="Helvetica"/>
          <w:lang w:eastAsia="zh-TW"/>
        </w:rPr>
      </w:pPr>
      <w:r w:rsidRPr="00FB0990">
        <w:rPr>
          <w:rFonts w:eastAsia="PMingLiU" w:cs="Helvetica"/>
          <w:lang w:eastAsia="zh-TW"/>
        </w:rPr>
        <w:t>à la réserve de compensation des charges d</w:t>
      </w:r>
      <w:r w:rsidRPr="00FB0990">
        <w:rPr>
          <w:rFonts w:eastAsia="PMingLiU" w:cs="MS-PGothic"/>
          <w:lang w:eastAsia="zh-TW"/>
        </w:rPr>
        <w:t>’</w:t>
      </w:r>
      <w:r w:rsidRPr="00FB0990">
        <w:rPr>
          <w:rFonts w:eastAsia="PMingLiU" w:cs="Helvetica"/>
          <w:lang w:eastAsia="zh-TW"/>
        </w:rPr>
        <w:t xml:space="preserve">amortissement en vue de financer le surcoût lié à des investissements nouveaux ; </w:t>
      </w:r>
    </w:p>
    <w:p w:rsidR="00F0535C" w:rsidRPr="00FB0990" w:rsidRDefault="00F0535C" w:rsidP="00F0535C">
      <w:pPr>
        <w:pStyle w:val="Paragraphedeliste"/>
        <w:numPr>
          <w:ilvl w:val="0"/>
          <w:numId w:val="21"/>
        </w:numPr>
        <w:rPr>
          <w:rFonts w:eastAsia="SimSun" w:cs="Mangal"/>
          <w:kern w:val="2"/>
          <w:lang w:eastAsia="hi-IN" w:bidi="hi-IN"/>
        </w:rPr>
      </w:pPr>
      <w:r w:rsidRPr="00FB0990">
        <w:rPr>
          <w:rFonts w:eastAsia="SimSun" w:cs="Mangal"/>
          <w:kern w:val="2"/>
          <w:lang w:eastAsia="hi-IN" w:bidi="hi-IN"/>
        </w:rPr>
        <w:t>à la réserve d’investissement.</w:t>
      </w:r>
    </w:p>
    <w:p w:rsidR="00895656" w:rsidRPr="009D2EED" w:rsidRDefault="00895656" w:rsidP="00895656">
      <w:pPr>
        <w:pStyle w:val="Paragraphedeliste"/>
        <w:rPr>
          <w:rFonts w:eastAsia="SimSun" w:cs="Mangal"/>
          <w:kern w:val="2"/>
          <w:lang w:eastAsia="hi-IN" w:bidi="hi-IN"/>
        </w:rPr>
      </w:pPr>
    </w:p>
    <w:p w:rsidR="00F0535C" w:rsidRPr="000F5BC1" w:rsidRDefault="00F0535C" w:rsidP="00F0535C">
      <w:pPr>
        <w:pStyle w:val="Paragraphedeliste"/>
        <w:numPr>
          <w:ilvl w:val="0"/>
          <w:numId w:val="34"/>
        </w:numPr>
        <w:suppressAutoHyphens/>
        <w:jc w:val="both"/>
        <w:rPr>
          <w:rFonts w:eastAsia="SimSun" w:cs="Arial"/>
          <w:kern w:val="2"/>
          <w:lang w:eastAsia="hi-IN" w:bidi="hi-IN"/>
        </w:rPr>
      </w:pPr>
      <w:r>
        <w:rPr>
          <w:rFonts w:eastAsia="SimSun" w:cs="Arial"/>
          <w:b/>
          <w:kern w:val="2"/>
          <w:lang w:eastAsia="hi-IN" w:bidi="hi-IN"/>
        </w:rPr>
        <w:t>Affectation</w:t>
      </w:r>
      <w:r w:rsidRPr="000F5BC1">
        <w:rPr>
          <w:rFonts w:eastAsia="SimSun" w:cs="Arial"/>
          <w:b/>
          <w:kern w:val="2"/>
          <w:lang w:eastAsia="hi-IN" w:bidi="hi-IN"/>
        </w:rPr>
        <w:t xml:space="preserve"> des résultats déficitaires : </w:t>
      </w:r>
    </w:p>
    <w:p w:rsidR="00F0535C" w:rsidRPr="000F5BC1" w:rsidRDefault="00F0535C" w:rsidP="001E6D4A">
      <w:pPr>
        <w:autoSpaceDE w:val="0"/>
        <w:autoSpaceDN w:val="0"/>
        <w:adjustRightInd w:val="0"/>
        <w:jc w:val="both"/>
        <w:rPr>
          <w:rFonts w:eastAsia="SimSun" w:cs="Arial"/>
          <w:kern w:val="2"/>
          <w:lang w:eastAsia="hi-IN" w:bidi="hi-IN"/>
        </w:rPr>
      </w:pPr>
      <w:r w:rsidRPr="000F5BC1">
        <w:rPr>
          <w:rFonts w:eastAsia="PMingLiU" w:cs="Helvetica"/>
          <w:lang w:eastAsia="zh-TW"/>
        </w:rPr>
        <w:t xml:space="preserve">La couverture des déficits </w:t>
      </w:r>
      <w:r>
        <w:rPr>
          <w:rFonts w:eastAsia="PMingLiU" w:cs="Helvetica"/>
          <w:lang w:eastAsia="zh-TW"/>
        </w:rPr>
        <w:t>relève</w:t>
      </w:r>
      <w:r w:rsidRPr="000F5BC1">
        <w:rPr>
          <w:rFonts w:eastAsia="PMingLiU" w:cs="Helvetica"/>
          <w:lang w:eastAsia="zh-TW"/>
        </w:rPr>
        <w:t xml:space="preserve"> de la responsabilité du gestionnaire.</w:t>
      </w:r>
      <w:r w:rsidR="001E6D4A">
        <w:rPr>
          <w:rFonts w:eastAsia="PMingLiU" w:cs="Helvetica"/>
          <w:lang w:eastAsia="zh-TW"/>
        </w:rPr>
        <w:t xml:space="preserve"> </w:t>
      </w:r>
      <w:r w:rsidRPr="000F5BC1">
        <w:rPr>
          <w:rFonts w:eastAsia="SimSun" w:cs="Arial"/>
          <w:kern w:val="2"/>
          <w:lang w:eastAsia="hi-IN" w:bidi="hi-IN"/>
        </w:rPr>
        <w:t>Le déficit doit être couvert :</w:t>
      </w:r>
    </w:p>
    <w:p w:rsidR="00F0535C" w:rsidRPr="000F5BC1" w:rsidRDefault="00F0535C" w:rsidP="00F0535C">
      <w:pPr>
        <w:pStyle w:val="Paragraphedeliste"/>
        <w:numPr>
          <w:ilvl w:val="0"/>
          <w:numId w:val="27"/>
        </w:numPr>
        <w:suppressAutoHyphens/>
        <w:jc w:val="both"/>
        <w:rPr>
          <w:rFonts w:eastAsia="SimSun" w:cs="Arial"/>
          <w:kern w:val="2"/>
          <w:lang w:eastAsia="hi-IN" w:bidi="hi-IN"/>
        </w:rPr>
      </w:pPr>
      <w:r w:rsidRPr="000F5BC1">
        <w:rPr>
          <w:rFonts w:eastAsia="SimSun" w:cs="Arial"/>
          <w:kern w:val="2"/>
          <w:lang w:eastAsia="hi-IN" w:bidi="hi-IN"/>
        </w:rPr>
        <w:t xml:space="preserve">en priorité par </w:t>
      </w:r>
      <w:r>
        <w:rPr>
          <w:rFonts w:eastAsia="SimSun" w:cs="Arial"/>
          <w:kern w:val="2"/>
          <w:lang w:eastAsia="hi-IN" w:bidi="hi-IN"/>
        </w:rPr>
        <w:t xml:space="preserve">le compte de report à nouveau excédentaire et </w:t>
      </w:r>
      <w:r w:rsidRPr="000F5BC1">
        <w:rPr>
          <w:rFonts w:eastAsia="SimSun" w:cs="Arial"/>
          <w:kern w:val="2"/>
          <w:lang w:eastAsia="hi-IN" w:bidi="hi-IN"/>
        </w:rPr>
        <w:t xml:space="preserve">la réserve de compensation des déficits ; </w:t>
      </w:r>
    </w:p>
    <w:p w:rsidR="00F0535C" w:rsidRPr="000F5BC1" w:rsidRDefault="00F0535C" w:rsidP="00F0535C">
      <w:pPr>
        <w:pStyle w:val="Paragraphedeliste"/>
        <w:numPr>
          <w:ilvl w:val="0"/>
          <w:numId w:val="27"/>
        </w:numPr>
        <w:suppressAutoHyphens/>
        <w:jc w:val="both"/>
        <w:rPr>
          <w:rFonts w:eastAsia="SimSun" w:cs="Arial"/>
          <w:kern w:val="2"/>
          <w:lang w:eastAsia="hi-IN" w:bidi="hi-IN"/>
        </w:rPr>
      </w:pPr>
      <w:r w:rsidRPr="000F5BC1">
        <w:rPr>
          <w:rFonts w:eastAsia="SimSun" w:cs="Arial"/>
          <w:kern w:val="2"/>
          <w:lang w:eastAsia="hi-IN" w:bidi="hi-IN"/>
        </w:rPr>
        <w:t>pour le surplus éventuel, affecté à un compte de report à nouveau déficitaire.</w:t>
      </w:r>
    </w:p>
    <w:p w:rsidR="00F0535C" w:rsidRPr="000F5BC1" w:rsidRDefault="00F0535C" w:rsidP="00F0535C">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lastRenderedPageBreak/>
        <w:t>7.4 Modalités de suivi des éléments financiers du contrat</w:t>
      </w:r>
    </w:p>
    <w:p w:rsidR="0008268C" w:rsidRDefault="0008268C" w:rsidP="0008268C">
      <w:pPr>
        <w:jc w:val="both"/>
        <w:rPr>
          <w:rFonts w:cs="Arial"/>
          <w:bCs/>
          <w:color w:val="000000"/>
          <w:lang w:eastAsia="hi-IN" w:bidi="hi-IN"/>
        </w:rPr>
      </w:pPr>
      <w:r>
        <w:rPr>
          <w:rFonts w:cs="Arial"/>
          <w:color w:val="000000"/>
          <w:lang w:eastAsia="hi-IN" w:bidi="hi-IN"/>
        </w:rPr>
        <w:t xml:space="preserve">A compter de l’exercice qui suit la conclusion du CPOM, le gestionnaire devra produire chaque année un </w:t>
      </w:r>
      <w:r>
        <w:rPr>
          <w:rFonts w:cs="Arial"/>
          <w:b/>
          <w:bCs/>
          <w:color w:val="000000"/>
          <w:lang w:eastAsia="hi-IN" w:bidi="hi-IN"/>
        </w:rPr>
        <w:t xml:space="preserve">état prévisionnel des recettes et des dépenses (EPRD) </w:t>
      </w:r>
      <w:r>
        <w:rPr>
          <w:rFonts w:cs="Arial"/>
          <w:bCs/>
          <w:color w:val="000000"/>
          <w:lang w:eastAsia="hi-IN" w:bidi="hi-IN"/>
        </w:rPr>
        <w:t xml:space="preserve">unique regroupant à minima l’ensemble des activités du périmètre du CPOM, dans les conditions et délais prévus par les articles R. 314-210 et suivants du code de </w:t>
      </w:r>
      <w:r>
        <w:rPr>
          <w:rFonts w:cs="Arial"/>
          <w:color w:val="000000"/>
          <w:lang w:eastAsia="hi-IN" w:bidi="hi-IN"/>
        </w:rPr>
        <w:t>l’action sociale et des familles.</w:t>
      </w:r>
    </w:p>
    <w:p w:rsidR="00F0535C" w:rsidRDefault="00F0535C" w:rsidP="00F0535C">
      <w:pPr>
        <w:suppressAutoHyphens/>
        <w:ind w:firstLine="1"/>
        <w:jc w:val="both"/>
        <w:rPr>
          <w:rFonts w:eastAsia="SimSun" w:cs="Arial"/>
          <w:color w:val="000000"/>
          <w:kern w:val="2"/>
          <w:lang w:eastAsia="hi-IN" w:bidi="hi-IN"/>
        </w:rPr>
      </w:pPr>
      <w:r w:rsidRPr="000F5BC1">
        <w:rPr>
          <w:rFonts w:eastAsia="SimSun" w:cs="Arial"/>
          <w:color w:val="000000"/>
          <w:kern w:val="2"/>
          <w:lang w:eastAsia="hi-IN" w:bidi="hi-IN"/>
        </w:rPr>
        <w:t>L’</w:t>
      </w:r>
      <w:r w:rsidRPr="000F5BC1">
        <w:rPr>
          <w:rFonts w:eastAsia="SimSun" w:cs="Arial"/>
          <w:b/>
          <w:bCs/>
          <w:color w:val="000000"/>
          <w:kern w:val="2"/>
          <w:lang w:eastAsia="hi-IN" w:bidi="hi-IN"/>
        </w:rPr>
        <w:t>état réalisé des recettes et des dépenses (ERRD)</w:t>
      </w:r>
      <w:r w:rsidRPr="000F5BC1">
        <w:rPr>
          <w:rFonts w:eastAsia="SimSun" w:cs="Arial"/>
          <w:color w:val="000000"/>
          <w:kern w:val="2"/>
          <w:lang w:eastAsia="hi-IN" w:bidi="hi-IN"/>
        </w:rPr>
        <w:t xml:space="preserve"> se substitue aux comptes administratifs à partir de </w:t>
      </w:r>
      <w:r>
        <w:rPr>
          <w:rFonts w:eastAsia="SimSun" w:cs="Arial"/>
          <w:color w:val="000000"/>
          <w:kern w:val="2"/>
          <w:lang w:eastAsia="hi-IN" w:bidi="hi-IN"/>
        </w:rPr>
        <w:t xml:space="preserve"> l’exercice budgétaire qui suit la conclusion du CPOM. La transmission des comptes administratifs des exercices budgétaires avant EPRD perdure</w:t>
      </w:r>
      <w:r w:rsidRPr="000F5BC1">
        <w:rPr>
          <w:rFonts w:eastAsia="SimSun" w:cs="Arial"/>
          <w:color w:val="000000"/>
          <w:kern w:val="2"/>
          <w:lang w:eastAsia="hi-IN" w:bidi="hi-IN"/>
        </w:rPr>
        <w:t xml:space="preserve">. Cet ERRD devra être transmis dans les conditions et délais des articles R. 314-232 et suivants du </w:t>
      </w:r>
      <w:r>
        <w:rPr>
          <w:rFonts w:eastAsia="SimSun" w:cs="Arial"/>
          <w:color w:val="000000"/>
          <w:kern w:val="2"/>
          <w:lang w:eastAsia="hi-IN" w:bidi="hi-IN"/>
        </w:rPr>
        <w:t>code de l’action sociale et des familles</w:t>
      </w:r>
      <w:r w:rsidRPr="000F5BC1">
        <w:rPr>
          <w:rFonts w:eastAsia="SimSun" w:cs="Arial"/>
          <w:color w:val="000000"/>
          <w:kern w:val="2"/>
          <w:lang w:eastAsia="hi-IN" w:bidi="hi-IN"/>
        </w:rPr>
        <w:t xml:space="preserve">. Les dispositions légales et réglementaires relatives au CPOM ne prévoient aucun régime dérogatoire quant à la transmission des comptes administratifs concernant les années précédant </w:t>
      </w:r>
      <w:r w:rsidR="003604E5">
        <w:rPr>
          <w:rFonts w:eastAsia="SimSun" w:cs="Arial"/>
          <w:color w:val="000000"/>
          <w:kern w:val="2"/>
          <w:lang w:eastAsia="hi-IN" w:bidi="hi-IN"/>
        </w:rPr>
        <w:t>le</w:t>
      </w:r>
      <w:r w:rsidRPr="000F5BC1">
        <w:rPr>
          <w:rFonts w:eastAsia="SimSun" w:cs="Arial"/>
          <w:color w:val="000000"/>
          <w:kern w:val="2"/>
          <w:lang w:eastAsia="hi-IN" w:bidi="hi-IN"/>
        </w:rPr>
        <w:t xml:space="preserve"> passage à l’EPRD.</w:t>
      </w:r>
    </w:p>
    <w:p w:rsidR="00F0535C" w:rsidRPr="009D2EED" w:rsidRDefault="00F0535C" w:rsidP="00F0535C">
      <w:pPr>
        <w:suppressAutoHyphens/>
        <w:ind w:firstLine="1"/>
        <w:jc w:val="both"/>
        <w:rPr>
          <w:rFonts w:eastAsia="SimSun" w:cs="Arial"/>
          <w:i/>
          <w:color w:val="000000"/>
          <w:kern w:val="2"/>
          <w:lang w:eastAsia="hi-IN" w:bidi="hi-IN"/>
        </w:rPr>
      </w:pPr>
      <w:r w:rsidRPr="009D2EED">
        <w:rPr>
          <w:rFonts w:eastAsia="SimSun" w:cs="Arial"/>
          <w:i/>
          <w:color w:val="000000"/>
          <w:kern w:val="2"/>
          <w:lang w:eastAsia="hi-IN" w:bidi="hi-IN"/>
        </w:rPr>
        <w:t>Pour illustration : si le CPOM est conclu en 2017, un EPRD sera transmis à compter de 2018, l’ERRD 2018 sera transmis en 2019. Il est donc nécessaire de transmettre le CA correspondant à l’exercice budgétaire 2017.</w:t>
      </w:r>
    </w:p>
    <w:p w:rsidR="00F0535C" w:rsidRPr="000F5BC1" w:rsidRDefault="00F0535C" w:rsidP="00F0535C">
      <w:pPr>
        <w:suppressAutoHyphens/>
        <w:ind w:firstLine="1"/>
        <w:jc w:val="both"/>
        <w:rPr>
          <w:rFonts w:eastAsia="SimSun" w:cs="Mangal"/>
          <w:color w:val="000000"/>
          <w:kern w:val="2"/>
          <w:lang w:eastAsia="hi-IN" w:bidi="hi-IN"/>
        </w:rPr>
      </w:pPr>
      <w:r w:rsidRPr="000F5BC1">
        <w:rPr>
          <w:rFonts w:eastAsia="SimSun" w:cs="Arial"/>
          <w:color w:val="000000"/>
          <w:kern w:val="2"/>
          <w:lang w:eastAsia="hi-IN" w:bidi="hi-IN"/>
        </w:rPr>
        <w:t xml:space="preserve">Chaque année le gestionnaire devra également transmettre à l’ARS une </w:t>
      </w:r>
      <w:r w:rsidRPr="000F5BC1">
        <w:rPr>
          <w:rFonts w:eastAsia="SimSun" w:cs="Arial"/>
          <w:b/>
          <w:bCs/>
          <w:color w:val="000000"/>
          <w:kern w:val="2"/>
          <w:lang w:eastAsia="hi-IN" w:bidi="hi-IN"/>
        </w:rPr>
        <w:t>annexe activité</w:t>
      </w:r>
      <w:r w:rsidRPr="000F5BC1">
        <w:rPr>
          <w:rFonts w:eastAsia="SimSun" w:cs="Arial"/>
          <w:color w:val="000000"/>
          <w:kern w:val="2"/>
          <w:lang w:eastAsia="hi-IN" w:bidi="hi-IN"/>
        </w:rPr>
        <w:t xml:space="preserve"> en version électronique pour le 31/10/N-1</w:t>
      </w:r>
      <w:r>
        <w:rPr>
          <w:rFonts w:eastAsia="SimSun" w:cs="Arial"/>
          <w:color w:val="000000"/>
          <w:kern w:val="2"/>
          <w:lang w:eastAsia="hi-IN" w:bidi="hi-IN"/>
        </w:rPr>
        <w:t xml:space="preserve"> conformément à l’article</w:t>
      </w:r>
      <w:r w:rsidR="0008268C">
        <w:rPr>
          <w:rFonts w:eastAsia="SimSun" w:cs="Arial"/>
          <w:color w:val="000000"/>
          <w:kern w:val="2"/>
          <w:lang w:eastAsia="hi-IN" w:bidi="hi-IN"/>
        </w:rPr>
        <w:t xml:space="preserve"> </w:t>
      </w:r>
      <w:r>
        <w:rPr>
          <w:rFonts w:eastAsia="SimSun" w:cs="Arial"/>
          <w:color w:val="000000"/>
          <w:kern w:val="2"/>
          <w:lang w:eastAsia="hi-IN" w:bidi="hi-IN"/>
        </w:rPr>
        <w:t>R</w:t>
      </w:r>
      <w:r w:rsidR="0008268C">
        <w:rPr>
          <w:rFonts w:eastAsia="SimSun" w:cs="Arial"/>
          <w:color w:val="000000"/>
          <w:kern w:val="2"/>
          <w:lang w:eastAsia="hi-IN" w:bidi="hi-IN"/>
        </w:rPr>
        <w:t>.</w:t>
      </w:r>
      <w:r>
        <w:rPr>
          <w:rFonts w:eastAsia="SimSun" w:cs="Arial"/>
          <w:color w:val="000000"/>
          <w:kern w:val="2"/>
          <w:lang w:eastAsia="hi-IN" w:bidi="hi-IN"/>
        </w:rPr>
        <w:t>314-219 du code de l’action sociale et des familles.</w:t>
      </w:r>
    </w:p>
    <w:p w:rsidR="00895656" w:rsidRPr="00FB0990" w:rsidRDefault="00F0535C" w:rsidP="00F0535C">
      <w:pPr>
        <w:suppressAutoHyphens/>
        <w:ind w:firstLine="1"/>
        <w:jc w:val="both"/>
        <w:rPr>
          <w:rFonts w:eastAsia="SimSun" w:cs="Arial"/>
          <w:color w:val="000000"/>
          <w:kern w:val="2"/>
          <w:lang w:eastAsia="hi-IN" w:bidi="hi-IN"/>
        </w:rPr>
      </w:pPr>
      <w:r w:rsidRPr="00FB0990">
        <w:rPr>
          <w:rFonts w:eastAsia="SimSun" w:cs="Arial"/>
          <w:kern w:val="2"/>
          <w:lang w:eastAsia="hi-IN" w:bidi="hi-IN"/>
        </w:rPr>
        <w:t>Il faut rappeler enfin que la dotation globalisée commune allouée par l'ARS finance la totalité des places autorisées et installées. Concernant les jeunes adultes présents dans les structures</w:t>
      </w:r>
      <w:r w:rsidR="009F37B7" w:rsidRPr="00FB0990">
        <w:rPr>
          <w:rFonts w:eastAsia="SimSun" w:cs="Arial"/>
          <w:kern w:val="2"/>
          <w:lang w:eastAsia="hi-IN" w:bidi="hi-IN"/>
        </w:rPr>
        <w:t xml:space="preserve"> et relevant de l’article L. 242-4 du CASF (</w:t>
      </w:r>
      <w:r w:rsidRPr="00FB0990">
        <w:rPr>
          <w:rFonts w:eastAsia="SimSun" w:cs="Arial"/>
          <w:b/>
          <w:kern w:val="2"/>
          <w:lang w:eastAsia="hi-IN" w:bidi="hi-IN"/>
        </w:rPr>
        <w:t>amendement CRETON</w:t>
      </w:r>
      <w:r w:rsidR="009F37B7" w:rsidRPr="00FB0990">
        <w:rPr>
          <w:rFonts w:eastAsia="SimSun" w:cs="Arial"/>
          <w:b/>
          <w:kern w:val="2"/>
          <w:lang w:eastAsia="hi-IN" w:bidi="hi-IN"/>
        </w:rPr>
        <w:t>)</w:t>
      </w:r>
      <w:r w:rsidRPr="00FB0990">
        <w:rPr>
          <w:rFonts w:eastAsia="SimSun" w:cs="Arial"/>
          <w:kern w:val="2"/>
          <w:lang w:eastAsia="hi-IN" w:bidi="hi-IN"/>
        </w:rPr>
        <w:t xml:space="preserve">, </w:t>
      </w:r>
      <w:r w:rsidRPr="00FB0990">
        <w:rPr>
          <w:rFonts w:eastAsia="SimSun" w:cs="Arial"/>
          <w:bCs/>
          <w:kern w:val="2"/>
          <w:lang w:eastAsia="hi-IN" w:bidi="hi-IN"/>
        </w:rPr>
        <w:t xml:space="preserve">les prix de journée pour lesquels la facturation des « amendements Creton » est à la charge des conseils </w:t>
      </w:r>
      <w:r w:rsidRPr="00FB0990">
        <w:rPr>
          <w:rFonts w:eastAsia="SimSun" w:cs="Arial"/>
          <w:color w:val="000000"/>
          <w:kern w:val="2"/>
          <w:lang w:eastAsia="hi-IN" w:bidi="hi-IN"/>
        </w:rPr>
        <w:t>départementaux</w:t>
      </w:r>
      <w:r w:rsidRPr="00FB0990">
        <w:rPr>
          <w:rFonts w:eastAsia="SimSun" w:cs="Arial"/>
          <w:b/>
          <w:bCs/>
          <w:color w:val="00B050"/>
          <w:kern w:val="2"/>
          <w:lang w:eastAsia="hi-IN" w:bidi="hi-IN"/>
        </w:rPr>
        <w:t xml:space="preserve"> </w:t>
      </w:r>
      <w:r w:rsidRPr="00FB0990">
        <w:rPr>
          <w:rFonts w:eastAsia="SimSun" w:cs="Arial"/>
          <w:bCs/>
          <w:kern w:val="2"/>
          <w:lang w:eastAsia="hi-IN" w:bidi="hi-IN"/>
        </w:rPr>
        <w:t>doi</w:t>
      </w:r>
      <w:r w:rsidR="0075146D" w:rsidRPr="00FB0990">
        <w:rPr>
          <w:rFonts w:eastAsia="SimSun" w:cs="Arial"/>
          <w:bCs/>
          <w:kern w:val="2"/>
          <w:lang w:eastAsia="hi-IN" w:bidi="hi-IN"/>
        </w:rPr>
        <w:t>ven</w:t>
      </w:r>
      <w:r w:rsidRPr="00FB0990">
        <w:rPr>
          <w:rFonts w:eastAsia="SimSun" w:cs="Arial"/>
          <w:bCs/>
          <w:kern w:val="2"/>
          <w:lang w:eastAsia="hi-IN" w:bidi="hi-IN"/>
        </w:rPr>
        <w:t>t leur être facturé</w:t>
      </w:r>
      <w:r w:rsidR="0075146D" w:rsidRPr="00FB0990">
        <w:rPr>
          <w:rFonts w:eastAsia="SimSun" w:cs="Arial"/>
          <w:bCs/>
          <w:kern w:val="2"/>
          <w:lang w:eastAsia="hi-IN" w:bidi="hi-IN"/>
        </w:rPr>
        <w:t>s</w:t>
      </w:r>
      <w:r w:rsidRPr="00FB0990">
        <w:rPr>
          <w:rFonts w:eastAsia="SimSun" w:cs="Arial"/>
          <w:bCs/>
          <w:kern w:val="2"/>
          <w:lang w:eastAsia="hi-IN" w:bidi="hi-IN"/>
        </w:rPr>
        <w:t xml:space="preserve"> constituant ainsi une recette supplémentaire au budget de l’exercice </w:t>
      </w:r>
      <w:r w:rsidR="00895656" w:rsidRPr="00FB0990">
        <w:rPr>
          <w:rFonts w:eastAsia="SimSun" w:cs="Arial"/>
          <w:bCs/>
          <w:kern w:val="2"/>
          <w:lang w:eastAsia="hi-IN" w:bidi="hi-IN"/>
        </w:rPr>
        <w:t>considéré.</w:t>
      </w:r>
      <w:r w:rsidRPr="00FB0990">
        <w:rPr>
          <w:rFonts w:eastAsia="SimSun" w:cs="Arial"/>
          <w:b/>
          <w:bCs/>
          <w:kern w:val="2"/>
          <w:lang w:eastAsia="hi-IN" w:bidi="hi-IN"/>
        </w:rPr>
        <w:t xml:space="preserve"> </w:t>
      </w:r>
    </w:p>
    <w:p w:rsidR="00F0535C" w:rsidRPr="00FB0990" w:rsidRDefault="00F0535C" w:rsidP="00F0535C">
      <w:pPr>
        <w:suppressAutoHyphens/>
        <w:ind w:firstLine="1"/>
        <w:jc w:val="both"/>
        <w:rPr>
          <w:rFonts w:eastAsia="SimSun" w:cs="Arial"/>
          <w:color w:val="000000"/>
          <w:kern w:val="2"/>
          <w:lang w:eastAsia="hi-IN" w:bidi="hi-IN"/>
        </w:rPr>
      </w:pPr>
      <w:r w:rsidRPr="00FB0990">
        <w:rPr>
          <w:rFonts w:eastAsia="SimSun" w:cs="Arial"/>
          <w:color w:val="000000"/>
          <w:kern w:val="2"/>
          <w:lang w:eastAsia="hi-IN" w:bidi="hi-IN"/>
        </w:rPr>
        <w:t>Les recettes</w:t>
      </w:r>
      <w:r w:rsidRPr="00FB0990">
        <w:rPr>
          <w:rFonts w:eastAsia="SimSun" w:cs="Arial"/>
          <w:bCs/>
          <w:kern w:val="2"/>
          <w:lang w:eastAsia="hi-IN" w:bidi="hi-IN"/>
        </w:rPr>
        <w:t xml:space="preserve"> ainsi générées </w:t>
      </w:r>
      <w:r w:rsidRPr="00FB0990">
        <w:rPr>
          <w:rFonts w:eastAsia="SimSun" w:cs="Arial"/>
          <w:color w:val="000000"/>
          <w:kern w:val="2"/>
          <w:lang w:eastAsia="hi-IN" w:bidi="hi-IN"/>
        </w:rPr>
        <w:t>sont</w:t>
      </w:r>
      <w:r w:rsidRPr="00FB0990">
        <w:rPr>
          <w:rFonts w:eastAsia="SimSun" w:cs="Arial"/>
          <w:bCs/>
          <w:color w:val="00B050"/>
          <w:kern w:val="2"/>
          <w:lang w:eastAsia="hi-IN" w:bidi="hi-IN"/>
        </w:rPr>
        <w:t xml:space="preserve"> </w:t>
      </w:r>
      <w:r w:rsidRPr="00FB0990">
        <w:rPr>
          <w:rFonts w:eastAsia="SimSun" w:cs="Arial"/>
          <w:bCs/>
          <w:kern w:val="2"/>
          <w:lang w:eastAsia="hi-IN" w:bidi="hi-IN"/>
        </w:rPr>
        <w:t>« reprises »</w:t>
      </w:r>
      <w:r w:rsidR="000E7CD5" w:rsidRPr="00FB0990">
        <w:rPr>
          <w:rFonts w:eastAsia="SimSun" w:cs="Arial"/>
          <w:bCs/>
          <w:kern w:val="2"/>
          <w:lang w:eastAsia="hi-IN" w:bidi="hi-IN"/>
        </w:rPr>
        <w:t xml:space="preserve"> par l’ARS</w:t>
      </w:r>
      <w:r w:rsidRPr="00FB0990">
        <w:rPr>
          <w:rFonts w:eastAsia="SimSun" w:cs="Arial"/>
          <w:bCs/>
          <w:kern w:val="2"/>
          <w:lang w:eastAsia="hi-IN" w:bidi="hi-IN"/>
        </w:rPr>
        <w:t xml:space="preserve"> et viennent en diminuti</w:t>
      </w:r>
      <w:r w:rsidR="00F761FA" w:rsidRPr="00FB0990">
        <w:rPr>
          <w:rFonts w:eastAsia="SimSun" w:cs="Arial"/>
          <w:bCs/>
          <w:kern w:val="2"/>
          <w:lang w:eastAsia="hi-IN" w:bidi="hi-IN"/>
        </w:rPr>
        <w:t xml:space="preserve">on de la dotation </w:t>
      </w:r>
      <w:r w:rsidR="00895656" w:rsidRPr="00FB0990">
        <w:rPr>
          <w:rFonts w:eastAsia="SimSun" w:cs="Arial"/>
          <w:bCs/>
          <w:kern w:val="2"/>
          <w:lang w:eastAsia="hi-IN" w:bidi="hi-IN"/>
        </w:rPr>
        <w:t xml:space="preserve"> de l’établissement.</w:t>
      </w:r>
      <w:r w:rsidRPr="00FB0990">
        <w:rPr>
          <w:rFonts w:eastAsia="SimSun" w:cs="Arial"/>
          <w:bCs/>
          <w:kern w:val="2"/>
          <w:lang w:eastAsia="hi-IN" w:bidi="hi-IN"/>
        </w:rPr>
        <w:t xml:space="preserve"> </w:t>
      </w:r>
      <w:r w:rsidRPr="00FB0990">
        <w:rPr>
          <w:rFonts w:eastAsia="SimSun" w:cs="Arial"/>
          <w:b/>
          <w:bCs/>
          <w:kern w:val="2"/>
          <w:lang w:eastAsia="hi-IN" w:bidi="hi-IN"/>
        </w:rPr>
        <w:t>Ces recettes ne doivent en aucun cas servir à augmenter le montant des dépenses approuvées.</w:t>
      </w:r>
    </w:p>
    <w:p w:rsidR="00F0535C" w:rsidRDefault="00F0535C" w:rsidP="00F0535C">
      <w:pPr>
        <w:suppressAutoHyphens/>
        <w:ind w:firstLine="1"/>
        <w:jc w:val="both"/>
        <w:rPr>
          <w:rFonts w:eastAsia="SimSun" w:cs="Arial"/>
          <w:color w:val="000000"/>
          <w:kern w:val="2"/>
          <w:lang w:eastAsia="hi-IN" w:bidi="hi-IN"/>
        </w:rPr>
      </w:pPr>
      <w:r w:rsidRPr="00FB0990">
        <w:rPr>
          <w:rFonts w:eastAsia="SimSun" w:cs="Arial"/>
          <w:color w:val="000000"/>
          <w:kern w:val="2"/>
          <w:lang w:eastAsia="hi-IN" w:bidi="hi-IN"/>
        </w:rPr>
        <w:t xml:space="preserve">Si les </w:t>
      </w:r>
      <w:r w:rsidR="003D696F" w:rsidRPr="00FB0990">
        <w:rPr>
          <w:rFonts w:eastAsia="SimSun" w:cs="Arial"/>
          <w:color w:val="000000"/>
          <w:kern w:val="2"/>
          <w:lang w:eastAsia="hi-IN" w:bidi="hi-IN"/>
        </w:rPr>
        <w:t>ESMS</w:t>
      </w:r>
      <w:r w:rsidRPr="00FB0990">
        <w:rPr>
          <w:rFonts w:eastAsia="SimSun" w:cs="Arial"/>
          <w:color w:val="000000"/>
          <w:kern w:val="2"/>
          <w:lang w:eastAsia="hi-IN" w:bidi="hi-IN"/>
        </w:rPr>
        <w:t xml:space="preserve"> du gestionnaire accueillent des jeunes sous amendement CRETON, le gestionnaire devra transmettre à l’ARS et au Conseil Départemental au 31 janvier N</w:t>
      </w:r>
      <w:r w:rsidR="00895656" w:rsidRPr="00FB0990">
        <w:rPr>
          <w:rFonts w:eastAsia="SimSun" w:cs="Arial"/>
          <w:color w:val="000000"/>
          <w:kern w:val="2"/>
          <w:lang w:eastAsia="hi-IN" w:bidi="hi-IN"/>
        </w:rPr>
        <w:t>, et ce dès la première année d’entrée en vigueur du CPOM,</w:t>
      </w:r>
      <w:r w:rsidRPr="00FB0990">
        <w:rPr>
          <w:rFonts w:eastAsia="SimSun" w:cs="Arial"/>
          <w:color w:val="000000"/>
          <w:kern w:val="2"/>
          <w:lang w:eastAsia="hi-IN" w:bidi="hi-IN"/>
        </w:rPr>
        <w:t xml:space="preserve"> une mise à jour de l’activité prévisionnelle « Creton » au titre de l’année N</w:t>
      </w:r>
      <w:r w:rsidR="000E7CD5" w:rsidRPr="00FB0990">
        <w:rPr>
          <w:rFonts w:eastAsia="SimSun" w:cs="Arial"/>
          <w:color w:val="000000"/>
          <w:kern w:val="2"/>
          <w:lang w:eastAsia="hi-IN" w:bidi="hi-IN"/>
        </w:rPr>
        <w:t xml:space="preserve"> et une mise à jour de l’activité réalisée « Creton » au titre de l’année N-1</w:t>
      </w:r>
      <w:r w:rsidRPr="00FB0990">
        <w:rPr>
          <w:rFonts w:eastAsia="SimSun" w:cs="Arial"/>
          <w:color w:val="000000"/>
          <w:kern w:val="2"/>
          <w:lang w:eastAsia="hi-IN" w:bidi="hi-IN"/>
        </w:rPr>
        <w:t xml:space="preserve"> </w:t>
      </w:r>
      <w:r w:rsidR="00876D2A" w:rsidRPr="00FB0990">
        <w:rPr>
          <w:rFonts w:eastAsia="SimSun" w:cs="Arial"/>
          <w:color w:val="000000"/>
          <w:kern w:val="2"/>
          <w:lang w:eastAsia="hi-IN" w:bidi="hi-IN"/>
        </w:rPr>
        <w:t>via la plateforme Import EPRD</w:t>
      </w:r>
      <w:r w:rsidRPr="00FB0990">
        <w:rPr>
          <w:rFonts w:eastAsia="SimSun" w:cs="Arial"/>
          <w:color w:val="000000"/>
          <w:kern w:val="2"/>
          <w:lang w:eastAsia="hi-IN" w:bidi="hi-IN"/>
        </w:rPr>
        <w:t>.</w:t>
      </w:r>
    </w:p>
    <w:p w:rsidR="0082071B" w:rsidRPr="00FB0990" w:rsidRDefault="0082071B" w:rsidP="00F0535C">
      <w:pPr>
        <w:suppressAutoHyphens/>
        <w:ind w:firstLine="1"/>
        <w:jc w:val="both"/>
        <w:rPr>
          <w:rFonts w:eastAsia="SimSun" w:cs="Arial"/>
          <w:color w:val="000000"/>
          <w:kern w:val="2"/>
          <w:lang w:eastAsia="hi-IN" w:bidi="hi-IN"/>
        </w:rPr>
      </w:pPr>
    </w:p>
    <w:p w:rsidR="00F0535C" w:rsidRPr="00F0535C" w:rsidRDefault="00F0535C" w:rsidP="00F0535C">
      <w:pPr>
        <w:pStyle w:val="Sous-titre"/>
        <w:spacing w:before="360" w:after="240"/>
        <w:ind w:firstLine="708"/>
        <w:jc w:val="both"/>
        <w:rPr>
          <w:rFonts w:asciiTheme="minorHAnsi" w:hAnsiTheme="minorHAnsi"/>
          <w:sz w:val="22"/>
          <w:szCs w:val="22"/>
        </w:rPr>
      </w:pPr>
      <w:r w:rsidRPr="000F5BC1">
        <w:rPr>
          <w:rFonts w:asciiTheme="minorHAnsi" w:hAnsiTheme="minorHAnsi"/>
          <w:sz w:val="22"/>
          <w:szCs w:val="22"/>
        </w:rPr>
        <w:t>7.5 Détermination des frais de siège</w:t>
      </w:r>
    </w:p>
    <w:p w:rsidR="00377C1F" w:rsidRPr="00377C1F" w:rsidRDefault="00377C1F" w:rsidP="00377C1F">
      <w:pPr>
        <w:suppressAutoHyphens/>
        <w:ind w:firstLine="1"/>
        <w:jc w:val="both"/>
        <w:rPr>
          <w:rFonts w:eastAsia="SimSun" w:cs="Arial"/>
          <w:i/>
          <w:color w:val="1F497D" w:themeColor="text2"/>
          <w:kern w:val="2"/>
          <w:lang w:eastAsia="hi-IN" w:bidi="hi-IN"/>
        </w:rPr>
      </w:pPr>
      <w:r w:rsidRPr="00377C1F">
        <w:rPr>
          <w:rFonts w:eastAsia="SimSun" w:cs="Arial"/>
          <w:i/>
          <w:color w:val="1F497D" w:themeColor="text2"/>
          <w:kern w:val="2"/>
          <w:lang w:eastAsia="hi-IN" w:bidi="hi-IN"/>
        </w:rPr>
        <w:t>Il conviendra d’adapter l’autorisation des frais de siège en fonction de la situation du gestionnaire puisque c’est le principal financeur qui est chargé de fixer les conditions d’autorisation des frais de siège.</w:t>
      </w:r>
    </w:p>
    <w:p w:rsidR="00F0535C" w:rsidRPr="00377C1F" w:rsidRDefault="00F0535C" w:rsidP="00F0535C">
      <w:pPr>
        <w:suppressAutoHyphens/>
        <w:ind w:firstLine="1"/>
        <w:jc w:val="both"/>
        <w:rPr>
          <w:rFonts w:eastAsia="SimSun" w:cs="Arial"/>
          <w:b/>
          <w:i/>
          <w:color w:val="1F497D" w:themeColor="text2"/>
          <w:kern w:val="2"/>
          <w:lang w:eastAsia="hi-IN" w:bidi="hi-IN"/>
        </w:rPr>
      </w:pPr>
      <w:r w:rsidRPr="00377C1F">
        <w:rPr>
          <w:rFonts w:eastAsia="SimSun" w:cs="Arial"/>
          <w:b/>
          <w:i/>
          <w:color w:val="1F497D" w:themeColor="text2"/>
          <w:kern w:val="2"/>
          <w:lang w:eastAsia="hi-IN" w:bidi="hi-IN"/>
        </w:rPr>
        <w:t>SOLUTION A PRIVILEGIER LORSQU’ELLE EST POSSIBLE</w:t>
      </w:r>
    </w:p>
    <w:p w:rsidR="00F0535C" w:rsidRPr="00377C1F" w:rsidRDefault="00F0535C" w:rsidP="00F0535C">
      <w:pPr>
        <w:suppressAutoHyphens/>
        <w:ind w:firstLine="1"/>
        <w:jc w:val="both"/>
        <w:rPr>
          <w:rFonts w:eastAsia="SimSun" w:cs="Arial"/>
          <w:i/>
          <w:color w:val="1F497D" w:themeColor="text2"/>
          <w:kern w:val="2"/>
          <w:lang w:eastAsia="hi-IN" w:bidi="hi-IN"/>
        </w:rPr>
      </w:pPr>
      <w:r w:rsidRPr="00377C1F">
        <w:rPr>
          <w:rFonts w:eastAsia="SimSun" w:cs="Arial"/>
          <w:i/>
          <w:color w:val="1F497D" w:themeColor="text2"/>
          <w:kern w:val="2"/>
          <w:lang w:eastAsia="hi-IN" w:bidi="hi-IN"/>
        </w:rPr>
        <w:t xml:space="preserve">Lorsque c’est le CPOM qui autorise les frais de siège et que le périmètre du CPOM correspond à celui des </w:t>
      </w:r>
      <w:r w:rsidR="003D696F" w:rsidRPr="00377C1F">
        <w:rPr>
          <w:rFonts w:eastAsia="SimSun" w:cs="Arial"/>
          <w:i/>
          <w:color w:val="1F497D" w:themeColor="text2"/>
          <w:kern w:val="2"/>
          <w:lang w:eastAsia="hi-IN" w:bidi="hi-IN"/>
        </w:rPr>
        <w:t>ESMS</w:t>
      </w:r>
      <w:r w:rsidRPr="00377C1F">
        <w:rPr>
          <w:rFonts w:eastAsia="SimSun" w:cs="Arial"/>
          <w:i/>
          <w:color w:val="1F497D" w:themeColor="text2"/>
          <w:kern w:val="2"/>
          <w:lang w:eastAsia="hi-IN" w:bidi="hi-IN"/>
        </w:rPr>
        <w:t xml:space="preserve"> gérés par le gestionnaire – article L. 314-7 VI du CASF : </w:t>
      </w:r>
    </w:p>
    <w:p w:rsidR="00F0535C" w:rsidRDefault="00F0535C" w:rsidP="00F0535C">
      <w:pPr>
        <w:suppressAutoHyphens/>
        <w:jc w:val="both"/>
        <w:rPr>
          <w:rFonts w:eastAsia="SimSun" w:cs="Arial"/>
          <w:kern w:val="2"/>
          <w:lang w:eastAsia="hi-IN" w:bidi="hi-IN"/>
        </w:rPr>
      </w:pPr>
      <w:r w:rsidRPr="0023489E">
        <w:rPr>
          <w:rFonts w:eastAsia="SimSun" w:cs="Arial"/>
          <w:kern w:val="2"/>
          <w:lang w:eastAsia="hi-IN" w:bidi="hi-IN"/>
        </w:rPr>
        <w:lastRenderedPageBreak/>
        <w:t>L’organisme gestionnaire signataire du présent contrat est autorisé à percevoir des frais de siège à compter du XXXX pour une durée de cinq ans. Cette autorisation peut être abrogée si les conditions de son octroi cessent d’être remplies.</w:t>
      </w:r>
    </w:p>
    <w:p w:rsidR="00F0535C" w:rsidRPr="0023489E" w:rsidRDefault="00F0535C" w:rsidP="00F0535C">
      <w:pPr>
        <w:suppressAutoHyphens/>
        <w:jc w:val="both"/>
        <w:rPr>
          <w:rFonts w:eastAsia="SimSun" w:cs="Arial"/>
          <w:kern w:val="2"/>
          <w:lang w:eastAsia="hi-IN" w:bidi="hi-IN"/>
        </w:rPr>
      </w:pPr>
      <w:r w:rsidRPr="0023489E">
        <w:rPr>
          <w:rFonts w:eastAsia="SimSun" w:cs="Arial"/>
          <w:kern w:val="2"/>
          <w:lang w:eastAsia="hi-IN" w:bidi="hi-IN"/>
        </w:rPr>
        <w:t xml:space="preserve">Le siège social participera auprès des </w:t>
      </w:r>
      <w:r w:rsidR="003D696F">
        <w:rPr>
          <w:rFonts w:eastAsia="SimSun" w:cs="Arial"/>
          <w:kern w:val="2"/>
          <w:lang w:eastAsia="hi-IN" w:bidi="hi-IN"/>
        </w:rPr>
        <w:t>ESMS</w:t>
      </w:r>
      <w:r w:rsidRPr="0023489E">
        <w:rPr>
          <w:rFonts w:eastAsia="SimSun" w:cs="Arial"/>
          <w:kern w:val="2"/>
          <w:lang w:eastAsia="hi-IN" w:bidi="hi-IN"/>
        </w:rPr>
        <w:t xml:space="preserve"> aux prestations suivantes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en matière de comptabilité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en matière de gestion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ressources humaines et juridiques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développement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en matière de coordination et d’évaluation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services en matière de communication :</w:t>
      </w:r>
    </w:p>
    <w:p w:rsidR="00F0535C" w:rsidRPr="00C26D66" w:rsidRDefault="00F0535C" w:rsidP="00F0535C">
      <w:pPr>
        <w:pStyle w:val="Paragraphedeliste"/>
        <w:numPr>
          <w:ilvl w:val="0"/>
          <w:numId w:val="36"/>
        </w:numPr>
        <w:suppressAutoHyphens/>
        <w:jc w:val="both"/>
        <w:rPr>
          <w:rFonts w:eastAsia="SimSun" w:cs="Arial"/>
          <w:kern w:val="2"/>
          <w:lang w:eastAsia="hi-IN" w:bidi="hi-IN"/>
        </w:rPr>
      </w:pPr>
      <w:r w:rsidRPr="00C26D66">
        <w:rPr>
          <w:rFonts w:eastAsia="SimSun" w:cs="Arial"/>
          <w:kern w:val="2"/>
          <w:lang w:eastAsia="hi-IN" w:bidi="hi-IN"/>
        </w:rPr>
        <w:t>autres services :</w:t>
      </w:r>
    </w:p>
    <w:p w:rsidR="00F0535C" w:rsidRPr="0023489E"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Les effectifs du siège sont arrêtés à XXX équivalents temps plein, soit : XXXX</w:t>
      </w:r>
    </w:p>
    <w:p w:rsidR="00F0535C" w:rsidRPr="0023489E"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 xml:space="preserve">Le taux de prélèvement est fixé à XXX% des charges brutes des sections d’exploitation de l’ensemble des </w:t>
      </w:r>
      <w:r w:rsidR="003D696F">
        <w:rPr>
          <w:rFonts w:eastAsia="SimSun" w:cs="Arial"/>
          <w:kern w:val="2"/>
          <w:lang w:eastAsia="hi-IN" w:bidi="hi-IN"/>
        </w:rPr>
        <w:t>ESMS</w:t>
      </w:r>
      <w:r w:rsidRPr="0023489E">
        <w:rPr>
          <w:rFonts w:eastAsia="SimSun" w:cs="Arial"/>
          <w:kern w:val="2"/>
          <w:lang w:eastAsia="hi-IN" w:bidi="hi-IN"/>
        </w:rPr>
        <w:t xml:space="preserve"> gérés par le gestionnaire.</w:t>
      </w:r>
    </w:p>
    <w:p w:rsidR="00F0535C"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 xml:space="preserve">En application de l’article R. 314-93 du CASF, ce pourcentage, qui est unique pour l’ensemble des </w:t>
      </w:r>
      <w:r w:rsidR="003D696F">
        <w:rPr>
          <w:rFonts w:eastAsia="SimSun" w:cs="Arial"/>
          <w:kern w:val="2"/>
          <w:lang w:eastAsia="hi-IN" w:bidi="hi-IN"/>
        </w:rPr>
        <w:t>ESMS du</w:t>
      </w:r>
      <w:r w:rsidRPr="0023489E">
        <w:rPr>
          <w:rFonts w:eastAsia="SimSun" w:cs="Arial"/>
          <w:kern w:val="2"/>
          <w:lang w:eastAsia="hi-IN" w:bidi="hi-IN"/>
        </w:rPr>
        <w:t xml:space="preserve"> gestionnaire, est applicable pour la durée de l’aut</w:t>
      </w:r>
      <w:r>
        <w:rPr>
          <w:rFonts w:eastAsia="SimSun" w:cs="Arial"/>
          <w:kern w:val="2"/>
          <w:lang w:eastAsia="hi-IN" w:bidi="hi-IN"/>
        </w:rPr>
        <w:t>orisation. Il peut être révisé.</w:t>
      </w:r>
    </w:p>
    <w:p w:rsidR="00F0535C" w:rsidRPr="0023489E"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De ce fait, la procédure contradictoire annuelle décrite à l’article R. 314-91 du CASF n’est plus requise.</w:t>
      </w:r>
    </w:p>
    <w:p w:rsidR="00F0535C"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Le montant des charges brutes est calculé sur la base du dernier exercice clos, hors charges exceptionnelles (compte 67), hors provisions (compte 68) sauf le compte 681 et frais de siège déjà versés (compte 6556).</w:t>
      </w:r>
    </w:p>
    <w:p w:rsidR="00F0535C" w:rsidRPr="003604E5" w:rsidRDefault="00F0535C" w:rsidP="00F0535C">
      <w:pPr>
        <w:suppressAutoHyphens/>
        <w:jc w:val="both"/>
        <w:rPr>
          <w:rFonts w:eastAsia="SimSun" w:cs="Arial"/>
          <w:b/>
          <w:i/>
          <w:color w:val="1F497D" w:themeColor="text2"/>
          <w:kern w:val="2"/>
          <w:lang w:eastAsia="hi-IN" w:bidi="hi-IN"/>
        </w:rPr>
      </w:pPr>
      <w:r w:rsidRPr="003604E5">
        <w:rPr>
          <w:rFonts w:eastAsia="SimSun" w:cs="Arial"/>
          <w:b/>
          <w:i/>
          <w:color w:val="1F497D" w:themeColor="text2"/>
          <w:kern w:val="2"/>
          <w:lang w:eastAsia="hi-IN" w:bidi="hi-IN"/>
        </w:rPr>
        <w:t>OU</w:t>
      </w:r>
    </w:p>
    <w:p w:rsidR="00F0535C" w:rsidRPr="0023489E" w:rsidRDefault="00F0535C" w:rsidP="00F0535C">
      <w:pPr>
        <w:suppressAutoHyphens/>
        <w:ind w:firstLine="1"/>
        <w:jc w:val="both"/>
        <w:rPr>
          <w:rFonts w:eastAsia="SimSun" w:cs="Arial"/>
          <w:kern w:val="2"/>
          <w:lang w:eastAsia="hi-IN" w:bidi="hi-IN"/>
        </w:rPr>
      </w:pPr>
      <w:r w:rsidRPr="0023489E">
        <w:rPr>
          <w:rFonts w:eastAsia="SimSun" w:cs="Arial"/>
          <w:kern w:val="2"/>
          <w:lang w:eastAsia="hi-IN" w:bidi="hi-IN"/>
        </w:rPr>
        <w:t>La dotation globalisée commune de référen</w:t>
      </w:r>
      <w:r>
        <w:rPr>
          <w:rFonts w:eastAsia="SimSun" w:cs="Arial"/>
          <w:kern w:val="2"/>
          <w:lang w:eastAsia="hi-IN" w:bidi="hi-IN"/>
        </w:rPr>
        <w:t xml:space="preserve">ce </w:t>
      </w:r>
      <w:r w:rsidRPr="0023489E">
        <w:rPr>
          <w:rFonts w:eastAsia="SimSun" w:cs="Arial"/>
          <w:kern w:val="2"/>
          <w:lang w:eastAsia="hi-IN" w:bidi="hi-IN"/>
        </w:rPr>
        <w:t>inclu</w:t>
      </w:r>
      <w:r>
        <w:rPr>
          <w:rFonts w:eastAsia="SimSun" w:cs="Arial"/>
          <w:kern w:val="2"/>
          <w:lang w:eastAsia="hi-IN" w:bidi="hi-IN"/>
        </w:rPr>
        <w:t>t</w:t>
      </w:r>
      <w:r w:rsidRPr="0023489E">
        <w:rPr>
          <w:rFonts w:eastAsia="SimSun" w:cs="Arial"/>
          <w:kern w:val="2"/>
          <w:lang w:eastAsia="hi-IN" w:bidi="hi-IN"/>
        </w:rPr>
        <w:t xml:space="preserve"> les frais de siège à reverser par les </w:t>
      </w:r>
      <w:r w:rsidR="003D696F">
        <w:rPr>
          <w:rFonts w:eastAsia="SimSun" w:cs="Arial"/>
          <w:kern w:val="2"/>
          <w:lang w:eastAsia="hi-IN" w:bidi="hi-IN"/>
        </w:rPr>
        <w:t xml:space="preserve">ESMS du </w:t>
      </w:r>
      <w:r w:rsidRPr="0023489E">
        <w:rPr>
          <w:rFonts w:eastAsia="SimSun" w:cs="Arial"/>
          <w:kern w:val="2"/>
          <w:lang w:eastAsia="hi-IN" w:bidi="hi-IN"/>
        </w:rPr>
        <w:t>gestionnaire.</w:t>
      </w:r>
    </w:p>
    <w:p w:rsidR="00F0535C" w:rsidRPr="0023489E" w:rsidRDefault="00F0535C" w:rsidP="00F0535C">
      <w:pPr>
        <w:suppressAutoHyphens/>
        <w:jc w:val="both"/>
        <w:rPr>
          <w:rFonts w:eastAsia="SimSun" w:cs="Arial"/>
          <w:kern w:val="2"/>
          <w:lang w:eastAsia="hi-IN" w:bidi="hi-IN"/>
        </w:rPr>
      </w:pPr>
      <w:r w:rsidRPr="0023489E">
        <w:rPr>
          <w:rFonts w:eastAsia="SimSun" w:cs="Arial"/>
          <w:kern w:val="2"/>
          <w:lang w:eastAsia="hi-IN" w:bidi="hi-IN"/>
        </w:rPr>
        <w:t>Les frais de siège ont été autorisés par décision (ARS de …) en date du (…) à hauteur de … %, ou le cas échéant sous une autre forme.</w:t>
      </w:r>
    </w:p>
    <w:p w:rsidR="00F0535C" w:rsidRPr="0023489E" w:rsidRDefault="00F0535C" w:rsidP="00F0535C">
      <w:pPr>
        <w:suppressAutoHyphens/>
        <w:jc w:val="both"/>
        <w:rPr>
          <w:rFonts w:eastAsia="SimSun" w:cs="Arial"/>
          <w:kern w:val="2"/>
          <w:lang w:eastAsia="hi-IN" w:bidi="hi-IN"/>
        </w:rPr>
      </w:pPr>
      <w:r w:rsidRPr="0023489E">
        <w:rPr>
          <w:rFonts w:eastAsia="SimSun" w:cs="Arial"/>
          <w:kern w:val="2"/>
          <w:lang w:eastAsia="hi-IN" w:bidi="hi-IN"/>
        </w:rPr>
        <w:t>Le montant annuel des frais de siège fera l'objet d'une décision annuelle de l'autorité de tarification compétente.</w:t>
      </w:r>
    </w:p>
    <w:p w:rsidR="00F729B7" w:rsidRPr="00CB4E7A" w:rsidRDefault="00F729B7" w:rsidP="00CB4E7A">
      <w:pPr>
        <w:pStyle w:val="Titre1"/>
      </w:pPr>
      <w:bookmarkStart w:id="9" w:name="_Toc494049540"/>
      <w:r w:rsidRPr="00CB4E7A">
        <w:t>ARTI</w:t>
      </w:r>
      <w:r w:rsidR="00CB4E7A">
        <w:t xml:space="preserve">CLE 8 – </w:t>
      </w:r>
      <w:r w:rsidR="00A438FC" w:rsidRPr="00CB4E7A">
        <w:t>DUREE DU CPOM ET MODALITES DE SUIVI</w:t>
      </w:r>
      <w:bookmarkEnd w:id="9"/>
    </w:p>
    <w:p w:rsidR="00F729B7" w:rsidRPr="00646009" w:rsidRDefault="00F729B7"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8.1</w:t>
      </w:r>
      <w:r w:rsidR="00F87C87" w:rsidRPr="00646009">
        <w:rPr>
          <w:rFonts w:asciiTheme="minorHAnsi" w:hAnsiTheme="minorHAnsi"/>
          <w:sz w:val="22"/>
          <w:szCs w:val="22"/>
        </w:rPr>
        <w:t xml:space="preserve"> </w:t>
      </w:r>
      <w:r w:rsidR="00A438FC" w:rsidRPr="00646009">
        <w:rPr>
          <w:rFonts w:asciiTheme="minorHAnsi" w:hAnsiTheme="minorHAnsi"/>
          <w:sz w:val="22"/>
          <w:szCs w:val="22"/>
        </w:rPr>
        <w:t>La durée du contrat</w:t>
      </w:r>
    </w:p>
    <w:p w:rsidR="0041600B" w:rsidRDefault="0041600B" w:rsidP="0041600B">
      <w:pPr>
        <w:jc w:val="both"/>
      </w:pPr>
      <w:r>
        <w:t xml:space="preserve">Le contrat entre le gestionnaire et l’ARS Grand Est est conclu pour une durée de cinq ans. Il prend effet à compter de la date de signature. </w:t>
      </w:r>
      <w:r w:rsidR="005A4CE1">
        <w:t>L’entrée dans le nouveau processus budgétaire tel que décrit dans l’article 7 sera réalisée en année pleine à compter de N+1</w:t>
      </w:r>
      <w:r w:rsidR="005A4CE1" w:rsidRPr="000F5BC1">
        <w:t>.</w:t>
      </w:r>
    </w:p>
    <w:p w:rsidR="00A438FC" w:rsidRPr="00646009" w:rsidRDefault="0041600B" w:rsidP="0041600B">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 xml:space="preserve"> </w:t>
      </w:r>
      <w:r w:rsidR="00A438FC" w:rsidRPr="00646009">
        <w:rPr>
          <w:rFonts w:asciiTheme="minorHAnsi" w:hAnsiTheme="minorHAnsi"/>
          <w:sz w:val="22"/>
          <w:szCs w:val="22"/>
        </w:rPr>
        <w:t>8.2 Le suivi du contrat</w:t>
      </w:r>
    </w:p>
    <w:p w:rsidR="00F729B7" w:rsidRPr="00646009" w:rsidRDefault="00F729B7" w:rsidP="006E6FC6">
      <w:pPr>
        <w:pStyle w:val="Default"/>
        <w:spacing w:after="120" w:line="276" w:lineRule="auto"/>
        <w:jc w:val="both"/>
        <w:rPr>
          <w:rFonts w:asciiTheme="minorHAnsi" w:hAnsiTheme="minorHAnsi"/>
          <w:color w:val="auto"/>
          <w:sz w:val="22"/>
          <w:szCs w:val="22"/>
          <w:u w:val="single"/>
        </w:rPr>
      </w:pPr>
      <w:r w:rsidRPr="00646009">
        <w:rPr>
          <w:rFonts w:asciiTheme="minorHAnsi" w:hAnsiTheme="minorHAnsi"/>
          <w:color w:val="auto"/>
          <w:sz w:val="22"/>
          <w:szCs w:val="22"/>
          <w:u w:val="single"/>
        </w:rPr>
        <w:t>Le suivi annuel</w:t>
      </w:r>
    </w:p>
    <w:p w:rsidR="00F729B7" w:rsidRPr="00646009" w:rsidRDefault="00F729B7"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lastRenderedPageBreak/>
        <w:t xml:space="preserve">Le gestionnaire </w:t>
      </w:r>
      <w:r w:rsidR="003604E5">
        <w:rPr>
          <w:rFonts w:asciiTheme="minorHAnsi" w:hAnsiTheme="minorHAnsi"/>
          <w:color w:val="auto"/>
          <w:sz w:val="22"/>
          <w:szCs w:val="22"/>
        </w:rPr>
        <w:t>doit</w:t>
      </w:r>
      <w:r w:rsidRPr="00646009">
        <w:rPr>
          <w:rFonts w:asciiTheme="minorHAnsi" w:hAnsiTheme="minorHAnsi"/>
          <w:color w:val="auto"/>
          <w:sz w:val="22"/>
          <w:szCs w:val="22"/>
        </w:rPr>
        <w:t xml:space="preserve"> transmettre annuellement à la Délégation Territoriale de l’ARS Grand Est un bilan annuel </w:t>
      </w:r>
      <w:r w:rsidR="00BB2097" w:rsidRPr="00646009">
        <w:rPr>
          <w:rFonts w:asciiTheme="minorHAnsi" w:hAnsiTheme="minorHAnsi"/>
          <w:color w:val="auto"/>
          <w:sz w:val="22"/>
          <w:szCs w:val="22"/>
        </w:rPr>
        <w:t>de l’état d’avancement du plan d’action</w:t>
      </w:r>
      <w:r w:rsidR="003604E5">
        <w:rPr>
          <w:rFonts w:asciiTheme="minorHAnsi" w:hAnsiTheme="minorHAnsi"/>
          <w:color w:val="auto"/>
          <w:sz w:val="22"/>
          <w:szCs w:val="22"/>
        </w:rPr>
        <w:t>s</w:t>
      </w:r>
      <w:r w:rsidR="00E50648">
        <w:rPr>
          <w:rFonts w:asciiTheme="minorHAnsi" w:hAnsiTheme="minorHAnsi"/>
          <w:color w:val="auto"/>
          <w:sz w:val="22"/>
          <w:szCs w:val="22"/>
        </w:rPr>
        <w:t xml:space="preserve"> en même temps que l’ERRD</w:t>
      </w:r>
      <w:r w:rsidR="00BB2097" w:rsidRPr="00646009">
        <w:rPr>
          <w:rFonts w:asciiTheme="minorHAnsi" w:hAnsiTheme="minorHAnsi"/>
          <w:color w:val="auto"/>
          <w:sz w:val="22"/>
          <w:szCs w:val="22"/>
        </w:rPr>
        <w:t>.</w:t>
      </w:r>
    </w:p>
    <w:p w:rsidR="00F729B7" w:rsidRPr="00646009" w:rsidRDefault="00F729B7" w:rsidP="006E6FC6">
      <w:pPr>
        <w:pStyle w:val="Default"/>
        <w:spacing w:after="120" w:line="276" w:lineRule="auto"/>
        <w:jc w:val="both"/>
        <w:rPr>
          <w:rFonts w:asciiTheme="minorHAnsi" w:hAnsiTheme="minorHAnsi"/>
          <w:color w:val="auto"/>
          <w:sz w:val="22"/>
          <w:szCs w:val="22"/>
        </w:rPr>
      </w:pPr>
    </w:p>
    <w:p w:rsidR="00F729B7" w:rsidRPr="00646009" w:rsidRDefault="00F729B7" w:rsidP="0008268C">
      <w:pPr>
        <w:pStyle w:val="Default"/>
        <w:spacing w:after="120" w:line="276" w:lineRule="auto"/>
        <w:jc w:val="both"/>
        <w:rPr>
          <w:rFonts w:asciiTheme="minorHAnsi" w:hAnsiTheme="minorHAnsi"/>
          <w:color w:val="auto"/>
          <w:sz w:val="22"/>
          <w:szCs w:val="22"/>
          <w:u w:val="single"/>
        </w:rPr>
      </w:pPr>
      <w:r w:rsidRPr="00646009">
        <w:rPr>
          <w:rFonts w:asciiTheme="minorHAnsi" w:hAnsiTheme="minorHAnsi"/>
          <w:color w:val="auto"/>
          <w:sz w:val="22"/>
          <w:szCs w:val="22"/>
          <w:u w:val="single"/>
        </w:rPr>
        <w:t>Le bilan à mi-parcours</w:t>
      </w:r>
    </w:p>
    <w:p w:rsidR="00F729B7" w:rsidRPr="00646009" w:rsidRDefault="00A82372" w:rsidP="0008268C">
      <w:pPr>
        <w:pStyle w:val="Default"/>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Le contrat fait</w:t>
      </w:r>
      <w:r w:rsidR="00F729B7" w:rsidRPr="00646009">
        <w:rPr>
          <w:rFonts w:asciiTheme="minorHAnsi" w:hAnsiTheme="minorHAnsi"/>
          <w:color w:val="auto"/>
          <w:sz w:val="22"/>
          <w:szCs w:val="22"/>
        </w:rPr>
        <w:t xml:space="preserve"> également </w:t>
      </w:r>
      <w:r w:rsidRPr="00646009">
        <w:rPr>
          <w:rFonts w:asciiTheme="minorHAnsi" w:hAnsiTheme="minorHAnsi"/>
          <w:color w:val="auto"/>
          <w:sz w:val="22"/>
          <w:szCs w:val="22"/>
        </w:rPr>
        <w:t xml:space="preserve">l’objet </w:t>
      </w:r>
      <w:r w:rsidR="00F729B7" w:rsidRPr="00646009">
        <w:rPr>
          <w:rFonts w:asciiTheme="minorHAnsi" w:hAnsiTheme="minorHAnsi"/>
          <w:color w:val="auto"/>
          <w:sz w:val="22"/>
          <w:szCs w:val="22"/>
        </w:rPr>
        <w:t>d’un suivi dans</w:t>
      </w:r>
      <w:r w:rsidR="00BB2097" w:rsidRPr="00646009">
        <w:rPr>
          <w:rFonts w:asciiTheme="minorHAnsi" w:hAnsiTheme="minorHAnsi"/>
          <w:color w:val="auto"/>
          <w:sz w:val="22"/>
          <w:szCs w:val="22"/>
        </w:rPr>
        <w:t xml:space="preserve"> le cadre du bilan</w:t>
      </w:r>
      <w:r w:rsidR="00F729B7" w:rsidRPr="00646009">
        <w:rPr>
          <w:rFonts w:asciiTheme="minorHAnsi" w:hAnsiTheme="minorHAnsi"/>
          <w:color w:val="auto"/>
          <w:sz w:val="22"/>
          <w:szCs w:val="22"/>
        </w:rPr>
        <w:t xml:space="preserve"> à mi-parcours, au cours de la troisième année du contrat, réunissant :</w:t>
      </w:r>
    </w:p>
    <w:p w:rsidR="0008268C" w:rsidRPr="0008268C" w:rsidRDefault="00F729B7" w:rsidP="0008268C">
      <w:pPr>
        <w:pStyle w:val="Default"/>
        <w:numPr>
          <w:ilvl w:val="0"/>
          <w:numId w:val="30"/>
        </w:numPr>
        <w:spacing w:after="120" w:line="276" w:lineRule="auto"/>
        <w:contextualSpacing/>
        <w:jc w:val="both"/>
      </w:pPr>
      <w:r w:rsidRPr="00646009">
        <w:rPr>
          <w:rFonts w:asciiTheme="minorHAnsi" w:hAnsiTheme="minorHAnsi"/>
          <w:color w:val="auto"/>
          <w:sz w:val="22"/>
          <w:szCs w:val="22"/>
        </w:rPr>
        <w:t>pour l’ARS, le directeur général de l’ARS ou son représentant</w:t>
      </w:r>
      <w:r w:rsidR="006E6FC6">
        <w:rPr>
          <w:rFonts w:asciiTheme="minorHAnsi" w:hAnsiTheme="minorHAnsi"/>
          <w:color w:val="auto"/>
          <w:sz w:val="22"/>
          <w:szCs w:val="22"/>
        </w:rPr>
        <w:t> ;</w:t>
      </w:r>
    </w:p>
    <w:p w:rsidR="0008268C" w:rsidRPr="0008268C" w:rsidRDefault="0008268C" w:rsidP="0008268C">
      <w:pPr>
        <w:pStyle w:val="Default"/>
        <w:numPr>
          <w:ilvl w:val="0"/>
          <w:numId w:val="30"/>
        </w:numPr>
        <w:spacing w:after="120" w:line="276" w:lineRule="auto"/>
        <w:contextualSpacing/>
        <w:jc w:val="both"/>
        <w:rPr>
          <w:rFonts w:asciiTheme="minorHAnsi" w:hAnsiTheme="minorHAnsi"/>
          <w:color w:val="auto"/>
          <w:sz w:val="22"/>
          <w:szCs w:val="22"/>
        </w:rPr>
      </w:pPr>
      <w:r w:rsidRPr="0008268C">
        <w:rPr>
          <w:rFonts w:asciiTheme="minorHAnsi" w:hAnsiTheme="minorHAnsi"/>
          <w:color w:val="auto"/>
          <w:sz w:val="22"/>
          <w:szCs w:val="22"/>
        </w:rPr>
        <w:t>pour le gestionnaire, le Président de l’association et le Directeur Général ou leurs représentants.</w:t>
      </w:r>
    </w:p>
    <w:p w:rsidR="00F729B7" w:rsidRPr="00646009" w:rsidRDefault="00BB2097" w:rsidP="0008268C">
      <w:pPr>
        <w:pStyle w:val="Default"/>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Le bilan</w:t>
      </w:r>
      <w:r w:rsidR="00F729B7" w:rsidRPr="00646009">
        <w:rPr>
          <w:rFonts w:asciiTheme="minorHAnsi" w:hAnsiTheme="minorHAnsi"/>
          <w:color w:val="auto"/>
          <w:sz w:val="22"/>
          <w:szCs w:val="22"/>
        </w:rPr>
        <w:t xml:space="preserve"> à mi-parcours a pour objet :</w:t>
      </w:r>
    </w:p>
    <w:p w:rsidR="00F729B7" w:rsidRPr="00646009" w:rsidRDefault="00F729B7" w:rsidP="0008268C">
      <w:pPr>
        <w:pStyle w:val="Default"/>
        <w:numPr>
          <w:ilvl w:val="0"/>
          <w:numId w:val="32"/>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l’examen d</w:t>
      </w:r>
      <w:r w:rsidR="00E50648">
        <w:rPr>
          <w:rFonts w:asciiTheme="minorHAnsi" w:hAnsiTheme="minorHAnsi"/>
          <w:color w:val="auto"/>
          <w:sz w:val="22"/>
          <w:szCs w:val="22"/>
        </w:rPr>
        <w:t xml:space="preserve">e l’état d’avancement </w:t>
      </w:r>
      <w:r w:rsidR="006E6FC6">
        <w:rPr>
          <w:rFonts w:asciiTheme="minorHAnsi" w:hAnsiTheme="minorHAnsi"/>
          <w:color w:val="auto"/>
          <w:sz w:val="22"/>
          <w:szCs w:val="22"/>
        </w:rPr>
        <w:t>des actions prévues au contrat ;</w:t>
      </w:r>
    </w:p>
    <w:p w:rsidR="00F729B7" w:rsidRPr="00646009" w:rsidRDefault="00F729B7" w:rsidP="0008268C">
      <w:pPr>
        <w:pStyle w:val="Default"/>
        <w:numPr>
          <w:ilvl w:val="0"/>
          <w:numId w:val="32"/>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 xml:space="preserve">l’évaluation </w:t>
      </w:r>
      <w:r w:rsidR="00E50648">
        <w:rPr>
          <w:rFonts w:asciiTheme="minorHAnsi" w:hAnsiTheme="minorHAnsi"/>
          <w:color w:val="auto"/>
          <w:sz w:val="22"/>
          <w:szCs w:val="22"/>
        </w:rPr>
        <w:t xml:space="preserve">intermédiaire </w:t>
      </w:r>
      <w:r w:rsidRPr="00646009">
        <w:rPr>
          <w:rFonts w:asciiTheme="minorHAnsi" w:hAnsiTheme="minorHAnsi"/>
          <w:color w:val="auto"/>
          <w:sz w:val="22"/>
          <w:szCs w:val="22"/>
        </w:rPr>
        <w:t>des résultats sur la base des indicateurs prévus au contrat issus du tableau de bo</w:t>
      </w:r>
      <w:r w:rsidR="006E6FC6">
        <w:rPr>
          <w:rFonts w:asciiTheme="minorHAnsi" w:hAnsiTheme="minorHAnsi"/>
          <w:color w:val="auto"/>
          <w:sz w:val="22"/>
          <w:szCs w:val="22"/>
        </w:rPr>
        <w:t>rd de la performance</w:t>
      </w:r>
      <w:r w:rsidR="00F761FA">
        <w:rPr>
          <w:rFonts w:asciiTheme="minorHAnsi" w:hAnsiTheme="minorHAnsi"/>
          <w:color w:val="auto"/>
          <w:sz w:val="22"/>
          <w:szCs w:val="22"/>
        </w:rPr>
        <w:t xml:space="preserve"> </w:t>
      </w:r>
      <w:r w:rsidR="006E6FC6">
        <w:rPr>
          <w:rFonts w:asciiTheme="minorHAnsi" w:hAnsiTheme="minorHAnsi"/>
          <w:color w:val="auto"/>
          <w:sz w:val="22"/>
          <w:szCs w:val="22"/>
        </w:rPr>
        <w:t>;</w:t>
      </w:r>
    </w:p>
    <w:p w:rsidR="00F729B7" w:rsidRPr="00646009" w:rsidRDefault="00F729B7" w:rsidP="0008268C">
      <w:pPr>
        <w:pStyle w:val="Default"/>
        <w:numPr>
          <w:ilvl w:val="0"/>
          <w:numId w:val="32"/>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l’analyse des perspectives pour l’année du dialogue de</w:t>
      </w:r>
      <w:r w:rsidR="006E6FC6">
        <w:rPr>
          <w:rFonts w:asciiTheme="minorHAnsi" w:hAnsiTheme="minorHAnsi"/>
          <w:color w:val="auto"/>
          <w:sz w:val="22"/>
          <w:szCs w:val="22"/>
        </w:rPr>
        <w:t xml:space="preserve"> gestion et les années à venir ;</w:t>
      </w:r>
    </w:p>
    <w:p w:rsidR="0008268C" w:rsidRDefault="00F729B7" w:rsidP="0008268C">
      <w:pPr>
        <w:pStyle w:val="Default"/>
        <w:numPr>
          <w:ilvl w:val="0"/>
          <w:numId w:val="32"/>
        </w:numPr>
        <w:spacing w:after="120" w:line="276" w:lineRule="auto"/>
        <w:jc w:val="both"/>
        <w:rPr>
          <w:rFonts w:asciiTheme="minorHAnsi" w:hAnsiTheme="minorHAnsi"/>
          <w:color w:val="auto"/>
          <w:sz w:val="22"/>
          <w:szCs w:val="22"/>
        </w:rPr>
      </w:pPr>
      <w:r w:rsidRPr="0008268C">
        <w:rPr>
          <w:rFonts w:asciiTheme="minorHAnsi" w:hAnsiTheme="minorHAnsi"/>
          <w:color w:val="auto"/>
          <w:sz w:val="22"/>
          <w:szCs w:val="22"/>
        </w:rPr>
        <w:t>la définition des éventuels avenants.</w:t>
      </w:r>
    </w:p>
    <w:p w:rsidR="00F729B7" w:rsidRPr="0008268C" w:rsidRDefault="00F729B7" w:rsidP="0008268C">
      <w:pPr>
        <w:pStyle w:val="Default"/>
        <w:spacing w:after="120" w:line="276" w:lineRule="auto"/>
        <w:jc w:val="both"/>
        <w:rPr>
          <w:rFonts w:asciiTheme="minorHAnsi" w:hAnsiTheme="minorHAnsi"/>
          <w:color w:val="auto"/>
          <w:sz w:val="22"/>
          <w:szCs w:val="22"/>
        </w:rPr>
      </w:pPr>
      <w:r w:rsidRPr="0008268C">
        <w:rPr>
          <w:rFonts w:asciiTheme="minorHAnsi" w:hAnsiTheme="minorHAnsi"/>
          <w:color w:val="auto"/>
          <w:sz w:val="22"/>
          <w:szCs w:val="22"/>
        </w:rPr>
        <w:t>L’analyse</w:t>
      </w:r>
      <w:r w:rsidR="004744D5" w:rsidRPr="0008268C">
        <w:rPr>
          <w:rFonts w:asciiTheme="minorHAnsi" w:hAnsiTheme="minorHAnsi"/>
          <w:color w:val="auto"/>
          <w:sz w:val="22"/>
          <w:szCs w:val="22"/>
        </w:rPr>
        <w:t xml:space="preserve"> </w:t>
      </w:r>
      <w:r w:rsidRPr="0008268C">
        <w:rPr>
          <w:rFonts w:asciiTheme="minorHAnsi" w:hAnsiTheme="minorHAnsi"/>
          <w:color w:val="auto"/>
          <w:sz w:val="22"/>
          <w:szCs w:val="22"/>
        </w:rPr>
        <w:t xml:space="preserve">est menée sur la base d’un rapport d’étape produit par </w:t>
      </w:r>
      <w:r w:rsidR="003D696F" w:rsidRPr="0008268C">
        <w:rPr>
          <w:rFonts w:asciiTheme="minorHAnsi" w:hAnsiTheme="minorHAnsi"/>
          <w:color w:val="auto"/>
          <w:sz w:val="22"/>
          <w:szCs w:val="22"/>
        </w:rPr>
        <w:t>le gestionnaire d’ESMS</w:t>
      </w:r>
      <w:r w:rsidRPr="0008268C">
        <w:rPr>
          <w:rFonts w:asciiTheme="minorHAnsi" w:hAnsiTheme="minorHAnsi"/>
          <w:color w:val="auto"/>
          <w:sz w:val="22"/>
          <w:szCs w:val="22"/>
        </w:rPr>
        <w:t>, au plus tard, un mois avant la réunion et comprenant les bilans annuels de réalisation des actions prévues à la première partie du contrat.</w:t>
      </w:r>
    </w:p>
    <w:p w:rsidR="00F729B7" w:rsidRPr="00646009" w:rsidRDefault="00A438FC" w:rsidP="0008268C">
      <w:pPr>
        <w:pStyle w:val="Sous-titre"/>
        <w:spacing w:before="360" w:after="240"/>
        <w:ind w:firstLine="708"/>
        <w:contextualSpacing/>
        <w:jc w:val="both"/>
        <w:rPr>
          <w:rFonts w:asciiTheme="minorHAnsi" w:hAnsiTheme="minorHAnsi"/>
          <w:sz w:val="22"/>
          <w:szCs w:val="22"/>
        </w:rPr>
      </w:pPr>
      <w:r w:rsidRPr="00646009">
        <w:rPr>
          <w:rFonts w:asciiTheme="minorHAnsi" w:hAnsiTheme="minorHAnsi"/>
          <w:sz w:val="22"/>
          <w:szCs w:val="22"/>
        </w:rPr>
        <w:t>8.3</w:t>
      </w:r>
      <w:r w:rsidR="00F729B7" w:rsidRPr="00646009">
        <w:rPr>
          <w:rFonts w:asciiTheme="minorHAnsi" w:hAnsiTheme="minorHAnsi"/>
          <w:sz w:val="22"/>
          <w:szCs w:val="22"/>
        </w:rPr>
        <w:t xml:space="preserve"> La révision du contrat</w:t>
      </w:r>
    </w:p>
    <w:p w:rsidR="00F729B7" w:rsidRPr="00646009" w:rsidRDefault="00F729B7" w:rsidP="0008268C">
      <w:pPr>
        <w:pStyle w:val="Default"/>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 xml:space="preserve">A la demande du gestionnaire ou de l’ARS, </w:t>
      </w:r>
      <w:r w:rsidR="00A438FC" w:rsidRPr="00646009">
        <w:rPr>
          <w:rFonts w:asciiTheme="minorHAnsi" w:hAnsiTheme="minorHAnsi"/>
          <w:color w:val="auto"/>
          <w:sz w:val="22"/>
          <w:szCs w:val="22"/>
        </w:rPr>
        <w:t>les dispositions du contrat peuvent être</w:t>
      </w:r>
      <w:r w:rsidRPr="00646009">
        <w:rPr>
          <w:rFonts w:asciiTheme="minorHAnsi" w:hAnsiTheme="minorHAnsi"/>
          <w:color w:val="auto"/>
          <w:sz w:val="22"/>
          <w:szCs w:val="22"/>
        </w:rPr>
        <w:t xml:space="preserve"> modifiées par voie d’avenant :</w:t>
      </w:r>
    </w:p>
    <w:p w:rsidR="00F729B7" w:rsidRPr="00646009" w:rsidRDefault="00F729B7" w:rsidP="0008268C">
      <w:pPr>
        <w:pStyle w:val="Default"/>
        <w:numPr>
          <w:ilvl w:val="0"/>
          <w:numId w:val="24"/>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Pour prendre en compte les modifications substantielles de l’environnement du gestionnaire, de l’offre d’accompagnement</w:t>
      </w:r>
      <w:r w:rsidR="003C5D3F" w:rsidRPr="00646009">
        <w:rPr>
          <w:rFonts w:asciiTheme="minorHAnsi" w:hAnsiTheme="minorHAnsi"/>
          <w:color w:val="auto"/>
          <w:sz w:val="22"/>
          <w:szCs w:val="22"/>
        </w:rPr>
        <w:t xml:space="preserve"> et de prise en charge</w:t>
      </w:r>
      <w:r w:rsidR="004744D5" w:rsidRPr="00646009">
        <w:rPr>
          <w:rFonts w:asciiTheme="minorHAnsi" w:hAnsiTheme="minorHAnsi"/>
          <w:color w:val="auto"/>
          <w:sz w:val="22"/>
          <w:szCs w:val="22"/>
        </w:rPr>
        <w:t xml:space="preserve"> </w:t>
      </w:r>
      <w:r w:rsidRPr="00646009">
        <w:rPr>
          <w:rFonts w:asciiTheme="minorHAnsi" w:hAnsiTheme="minorHAnsi"/>
          <w:color w:val="auto"/>
          <w:sz w:val="22"/>
          <w:szCs w:val="22"/>
        </w:rPr>
        <w:t>et des missions qui lui sont confiées ;</w:t>
      </w:r>
    </w:p>
    <w:p w:rsidR="00F729B7" w:rsidRPr="00646009" w:rsidRDefault="00F729B7" w:rsidP="0008268C">
      <w:pPr>
        <w:pStyle w:val="Default"/>
        <w:numPr>
          <w:ilvl w:val="0"/>
          <w:numId w:val="24"/>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Pour réviser le contenu des objectifs et des plans d’actions afin de tenir compte de nouvelles orientations politiques nationales ;</w:t>
      </w:r>
    </w:p>
    <w:p w:rsidR="00F729B7" w:rsidRPr="00646009" w:rsidRDefault="00F729B7" w:rsidP="0008268C">
      <w:pPr>
        <w:pStyle w:val="Default"/>
        <w:numPr>
          <w:ilvl w:val="0"/>
          <w:numId w:val="24"/>
        </w:numPr>
        <w:spacing w:after="120" w:line="276" w:lineRule="auto"/>
        <w:contextualSpacing/>
        <w:jc w:val="both"/>
        <w:rPr>
          <w:rFonts w:asciiTheme="minorHAnsi" w:hAnsiTheme="minorHAnsi"/>
          <w:color w:val="auto"/>
          <w:sz w:val="22"/>
          <w:szCs w:val="22"/>
        </w:rPr>
      </w:pPr>
      <w:r w:rsidRPr="00646009">
        <w:rPr>
          <w:rFonts w:asciiTheme="minorHAnsi" w:hAnsiTheme="minorHAnsi"/>
          <w:color w:val="auto"/>
          <w:sz w:val="22"/>
          <w:szCs w:val="22"/>
        </w:rPr>
        <w:t xml:space="preserve">Pour intégrer </w:t>
      </w:r>
      <w:r w:rsidR="003604E5">
        <w:rPr>
          <w:rFonts w:asciiTheme="minorHAnsi" w:hAnsiTheme="minorHAnsi"/>
          <w:color w:val="auto"/>
          <w:sz w:val="22"/>
          <w:szCs w:val="22"/>
        </w:rPr>
        <w:t xml:space="preserve">un </w:t>
      </w:r>
      <w:r w:rsidRPr="00646009">
        <w:rPr>
          <w:rFonts w:asciiTheme="minorHAnsi" w:hAnsiTheme="minorHAnsi"/>
          <w:color w:val="auto"/>
          <w:sz w:val="22"/>
          <w:szCs w:val="22"/>
        </w:rPr>
        <w:t xml:space="preserve">accompagnement financier </w:t>
      </w:r>
      <w:r w:rsidR="003604E5">
        <w:rPr>
          <w:rFonts w:asciiTheme="minorHAnsi" w:hAnsiTheme="minorHAnsi"/>
          <w:color w:val="auto"/>
          <w:sz w:val="22"/>
          <w:szCs w:val="22"/>
        </w:rPr>
        <w:t xml:space="preserve">éventuel </w:t>
      </w:r>
      <w:r w:rsidRPr="00646009">
        <w:rPr>
          <w:rFonts w:asciiTheme="minorHAnsi" w:hAnsiTheme="minorHAnsi"/>
          <w:color w:val="auto"/>
          <w:sz w:val="22"/>
          <w:szCs w:val="22"/>
        </w:rPr>
        <w:t>consenti par l’ARS destiné à la réalisation des nou</w:t>
      </w:r>
      <w:r w:rsidR="001F11B5" w:rsidRPr="00646009">
        <w:rPr>
          <w:rFonts w:asciiTheme="minorHAnsi" w:hAnsiTheme="minorHAnsi"/>
          <w:color w:val="auto"/>
          <w:sz w:val="22"/>
          <w:szCs w:val="22"/>
        </w:rPr>
        <w:t>velles orientations du contrat.</w:t>
      </w:r>
    </w:p>
    <w:p w:rsidR="00D00A1D" w:rsidRPr="00646009" w:rsidRDefault="00D00A1D"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8.4 Le renouvellement du contrat</w:t>
      </w:r>
    </w:p>
    <w:p w:rsidR="00D83B06" w:rsidRPr="00646009" w:rsidRDefault="00D00A1D" w:rsidP="006E6FC6">
      <w:pPr>
        <w:jc w:val="both"/>
      </w:pPr>
      <w:r w:rsidRPr="00646009">
        <w:t xml:space="preserve">La procédure de renouvellement du contrat débute </w:t>
      </w:r>
      <w:r w:rsidR="0075146D">
        <w:t>l'année qui précède la fin du CPOM</w:t>
      </w:r>
      <w:r w:rsidRPr="00646009">
        <w:t>. Ainsi, les négociations dans le cadre du renouvellement du CPOM débutent en N-1 afin de gara</w:t>
      </w:r>
      <w:r w:rsidR="00E77AB8" w:rsidRPr="00646009">
        <w:t>ntir la continuité des contrats.</w:t>
      </w:r>
    </w:p>
    <w:p w:rsidR="00F729B7" w:rsidRPr="00646009" w:rsidRDefault="00D83B06" w:rsidP="006E6FC6">
      <w:pPr>
        <w:pStyle w:val="Sous-titre"/>
        <w:spacing w:before="360" w:after="240"/>
        <w:ind w:firstLine="708"/>
        <w:jc w:val="both"/>
        <w:rPr>
          <w:rFonts w:asciiTheme="minorHAnsi" w:hAnsiTheme="minorHAnsi"/>
          <w:sz w:val="22"/>
          <w:szCs w:val="22"/>
        </w:rPr>
      </w:pPr>
      <w:r w:rsidRPr="00646009">
        <w:rPr>
          <w:rFonts w:asciiTheme="minorHAnsi" w:hAnsiTheme="minorHAnsi"/>
          <w:sz w:val="22"/>
          <w:szCs w:val="22"/>
        </w:rPr>
        <w:t>8</w:t>
      </w:r>
      <w:r w:rsidR="00D00A1D" w:rsidRPr="00646009">
        <w:rPr>
          <w:rFonts w:asciiTheme="minorHAnsi" w:hAnsiTheme="minorHAnsi"/>
          <w:sz w:val="22"/>
          <w:szCs w:val="22"/>
        </w:rPr>
        <w:t>.5</w:t>
      </w:r>
      <w:r w:rsidR="00A438FC" w:rsidRPr="00646009">
        <w:rPr>
          <w:rFonts w:asciiTheme="minorHAnsi" w:hAnsiTheme="minorHAnsi"/>
          <w:sz w:val="22"/>
          <w:szCs w:val="22"/>
        </w:rPr>
        <w:t xml:space="preserve"> Le r</w:t>
      </w:r>
      <w:r w:rsidR="00704825" w:rsidRPr="00646009">
        <w:rPr>
          <w:rFonts w:asciiTheme="minorHAnsi" w:hAnsiTheme="minorHAnsi"/>
          <w:sz w:val="22"/>
          <w:szCs w:val="22"/>
        </w:rPr>
        <w:t>ecours contentieux</w:t>
      </w:r>
    </w:p>
    <w:p w:rsidR="004D67AF" w:rsidRPr="00646009" w:rsidRDefault="004D67AF"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Chacune des deux parties peut demander la révision ou la résiliation du contrat en cas de modification substantielle des dispositions législatives et/ou réglementaires qui rendent l’exécution impossible du présent contrat, par lettre recommandée avec accusé réception.</w:t>
      </w:r>
    </w:p>
    <w:p w:rsidR="004D67AF" w:rsidRPr="00646009" w:rsidRDefault="004D67AF" w:rsidP="006E6FC6">
      <w:pPr>
        <w:pStyle w:val="Default"/>
        <w:spacing w:after="120" w:line="276" w:lineRule="auto"/>
        <w:jc w:val="both"/>
        <w:rPr>
          <w:rFonts w:asciiTheme="minorHAnsi" w:hAnsiTheme="minorHAnsi"/>
          <w:color w:val="auto"/>
          <w:sz w:val="22"/>
          <w:szCs w:val="22"/>
        </w:rPr>
      </w:pPr>
    </w:p>
    <w:p w:rsidR="004D67AF" w:rsidRPr="00646009" w:rsidRDefault="004D67AF"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L</w:t>
      </w:r>
      <w:r w:rsidR="00704825" w:rsidRPr="00646009">
        <w:rPr>
          <w:rFonts w:asciiTheme="minorHAnsi" w:hAnsiTheme="minorHAnsi"/>
          <w:color w:val="auto"/>
          <w:sz w:val="22"/>
          <w:szCs w:val="22"/>
        </w:rPr>
        <w:t>a procédure</w:t>
      </w:r>
      <w:r w:rsidR="004744D5" w:rsidRPr="00646009">
        <w:rPr>
          <w:rFonts w:asciiTheme="minorHAnsi" w:hAnsiTheme="minorHAnsi"/>
          <w:color w:val="auto"/>
          <w:sz w:val="22"/>
          <w:szCs w:val="22"/>
        </w:rPr>
        <w:t xml:space="preserve"> </w:t>
      </w:r>
      <w:r w:rsidR="00704825" w:rsidRPr="00646009">
        <w:rPr>
          <w:rFonts w:asciiTheme="minorHAnsi" w:hAnsiTheme="minorHAnsi"/>
          <w:color w:val="auto"/>
          <w:sz w:val="22"/>
          <w:szCs w:val="22"/>
        </w:rPr>
        <w:t xml:space="preserve">à suivre en </w:t>
      </w:r>
      <w:r w:rsidR="001F11B5" w:rsidRPr="00646009">
        <w:rPr>
          <w:rFonts w:asciiTheme="minorHAnsi" w:hAnsiTheme="minorHAnsi"/>
          <w:color w:val="auto"/>
          <w:sz w:val="22"/>
          <w:szCs w:val="22"/>
        </w:rPr>
        <w:t xml:space="preserve">cas de litige entre les parties </w:t>
      </w:r>
      <w:r w:rsidRPr="00646009">
        <w:rPr>
          <w:rFonts w:asciiTheme="minorHAnsi" w:hAnsiTheme="minorHAnsi"/>
          <w:color w:val="auto"/>
          <w:sz w:val="22"/>
          <w:szCs w:val="22"/>
        </w:rPr>
        <w:t>est la suivante</w:t>
      </w:r>
      <w:r w:rsidR="00704825" w:rsidRPr="00646009">
        <w:rPr>
          <w:rFonts w:asciiTheme="minorHAnsi" w:hAnsiTheme="minorHAnsi"/>
          <w:color w:val="auto"/>
          <w:sz w:val="22"/>
          <w:szCs w:val="22"/>
        </w:rPr>
        <w:t>:</w:t>
      </w:r>
    </w:p>
    <w:p w:rsidR="00704825" w:rsidRPr="00646009" w:rsidRDefault="00704825" w:rsidP="006E6FC6">
      <w:pPr>
        <w:pStyle w:val="Default"/>
        <w:numPr>
          <w:ilvl w:val="0"/>
          <w:numId w:val="25"/>
        </w:numPr>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lastRenderedPageBreak/>
        <w:t>Tentative de conciliation amiable</w:t>
      </w:r>
      <w:r w:rsidR="00396799" w:rsidRPr="00646009">
        <w:rPr>
          <w:rFonts w:asciiTheme="minorHAnsi" w:hAnsiTheme="minorHAnsi"/>
          <w:color w:val="auto"/>
          <w:sz w:val="22"/>
          <w:szCs w:val="22"/>
        </w:rPr>
        <w:t>,</w:t>
      </w:r>
      <w:r w:rsidRPr="00646009">
        <w:rPr>
          <w:rFonts w:asciiTheme="minorHAnsi" w:hAnsiTheme="minorHAnsi"/>
          <w:color w:val="auto"/>
          <w:sz w:val="22"/>
          <w:szCs w:val="22"/>
        </w:rPr>
        <w:t xml:space="preserve"> au préalable</w:t>
      </w:r>
      <w:r w:rsidR="00396799" w:rsidRPr="00646009">
        <w:rPr>
          <w:rFonts w:asciiTheme="minorHAnsi" w:hAnsiTheme="minorHAnsi"/>
          <w:color w:val="auto"/>
          <w:sz w:val="22"/>
          <w:szCs w:val="22"/>
        </w:rPr>
        <w:t>,</w:t>
      </w:r>
      <w:r w:rsidR="005B4446" w:rsidRPr="00646009">
        <w:rPr>
          <w:rFonts w:asciiTheme="minorHAnsi" w:hAnsiTheme="minorHAnsi"/>
          <w:color w:val="auto"/>
          <w:sz w:val="22"/>
          <w:szCs w:val="22"/>
        </w:rPr>
        <w:t xml:space="preserve"> par</w:t>
      </w:r>
      <w:r w:rsidR="00396799" w:rsidRPr="00646009">
        <w:rPr>
          <w:rFonts w:asciiTheme="minorHAnsi" w:hAnsiTheme="minorHAnsi"/>
          <w:color w:val="auto"/>
          <w:sz w:val="22"/>
          <w:szCs w:val="22"/>
        </w:rPr>
        <w:t xml:space="preserve"> le biais de réunions</w:t>
      </w:r>
      <w:r w:rsidR="005B4446" w:rsidRPr="00646009">
        <w:rPr>
          <w:rFonts w:asciiTheme="minorHAnsi" w:hAnsiTheme="minorHAnsi"/>
          <w:color w:val="auto"/>
          <w:sz w:val="22"/>
          <w:szCs w:val="22"/>
        </w:rPr>
        <w:t xml:space="preserve"> entre les parties avec </w:t>
      </w:r>
      <w:r w:rsidR="00396799" w:rsidRPr="00646009">
        <w:rPr>
          <w:rFonts w:asciiTheme="minorHAnsi" w:hAnsiTheme="minorHAnsi"/>
          <w:color w:val="auto"/>
          <w:sz w:val="22"/>
          <w:szCs w:val="22"/>
        </w:rPr>
        <w:t>compte-rendu</w:t>
      </w:r>
      <w:r w:rsidR="001F11B5" w:rsidRPr="00646009">
        <w:rPr>
          <w:rFonts w:asciiTheme="minorHAnsi" w:hAnsiTheme="minorHAnsi"/>
          <w:color w:val="auto"/>
          <w:sz w:val="22"/>
          <w:szCs w:val="22"/>
        </w:rPr>
        <w:t xml:space="preserve"> et documents à l’appui ;</w:t>
      </w:r>
    </w:p>
    <w:p w:rsidR="00704825" w:rsidRPr="00646009" w:rsidRDefault="00704825" w:rsidP="006E6FC6">
      <w:pPr>
        <w:pStyle w:val="Default"/>
        <w:numPr>
          <w:ilvl w:val="0"/>
          <w:numId w:val="25"/>
        </w:numPr>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 xml:space="preserve">Litige porté devant le </w:t>
      </w:r>
      <w:r w:rsidR="00A438FC" w:rsidRPr="00646009">
        <w:rPr>
          <w:rFonts w:asciiTheme="minorHAnsi" w:hAnsiTheme="minorHAnsi"/>
          <w:color w:val="auto"/>
          <w:sz w:val="22"/>
          <w:szCs w:val="22"/>
        </w:rPr>
        <w:t>Tribunal Administratif du siège de l’ARS Grand Est</w:t>
      </w:r>
      <w:r w:rsidRPr="00646009">
        <w:rPr>
          <w:rFonts w:asciiTheme="minorHAnsi" w:hAnsiTheme="minorHAnsi"/>
          <w:color w:val="auto"/>
          <w:sz w:val="22"/>
          <w:szCs w:val="22"/>
        </w:rPr>
        <w:t xml:space="preserve"> en cas d’échec de la tentative de conciliation.</w:t>
      </w:r>
    </w:p>
    <w:p w:rsidR="00704825" w:rsidRPr="00646009" w:rsidRDefault="00704825" w:rsidP="006E6FC6">
      <w:pPr>
        <w:pStyle w:val="Default"/>
        <w:spacing w:after="120" w:line="276" w:lineRule="auto"/>
        <w:jc w:val="both"/>
        <w:rPr>
          <w:rFonts w:asciiTheme="minorHAnsi" w:hAnsiTheme="minorHAnsi"/>
          <w:color w:val="auto"/>
          <w:sz w:val="22"/>
          <w:szCs w:val="22"/>
        </w:rPr>
      </w:pPr>
    </w:p>
    <w:p w:rsidR="003B5939" w:rsidRPr="00646009" w:rsidRDefault="003B5939" w:rsidP="006E6FC6">
      <w:pPr>
        <w:pStyle w:val="Default"/>
        <w:spacing w:after="120" w:line="276" w:lineRule="auto"/>
        <w:jc w:val="both"/>
        <w:rPr>
          <w:rFonts w:asciiTheme="minorHAnsi" w:hAnsiTheme="minorHAnsi"/>
          <w:color w:val="auto"/>
          <w:sz w:val="22"/>
          <w:szCs w:val="22"/>
        </w:rPr>
      </w:pPr>
    </w:p>
    <w:p w:rsidR="00F729B7" w:rsidRPr="00646009" w:rsidRDefault="00F729B7" w:rsidP="006E6FC6">
      <w:pPr>
        <w:pStyle w:val="Default"/>
        <w:spacing w:after="120" w:line="276" w:lineRule="auto"/>
        <w:jc w:val="both"/>
        <w:rPr>
          <w:rFonts w:asciiTheme="minorHAnsi" w:hAnsiTheme="minorHAnsi"/>
          <w:color w:val="auto"/>
          <w:sz w:val="22"/>
          <w:szCs w:val="22"/>
        </w:rPr>
      </w:pPr>
    </w:p>
    <w:p w:rsidR="00F729B7" w:rsidRPr="00646009" w:rsidRDefault="00F729B7" w:rsidP="006E6FC6">
      <w:pPr>
        <w:pStyle w:val="Default"/>
        <w:spacing w:after="120" w:line="276" w:lineRule="auto"/>
        <w:jc w:val="both"/>
        <w:rPr>
          <w:rFonts w:asciiTheme="minorHAnsi" w:hAnsiTheme="minorHAnsi"/>
          <w:color w:val="auto"/>
          <w:sz w:val="22"/>
          <w:szCs w:val="22"/>
        </w:rPr>
      </w:pPr>
      <w:r w:rsidRPr="00646009">
        <w:rPr>
          <w:rFonts w:asciiTheme="minorHAnsi" w:hAnsiTheme="minorHAnsi"/>
          <w:color w:val="auto"/>
          <w:sz w:val="22"/>
          <w:szCs w:val="22"/>
        </w:rPr>
        <w:t xml:space="preserve">Fait à </w:t>
      </w:r>
      <w:r w:rsidRPr="00377C1F">
        <w:rPr>
          <w:rFonts w:asciiTheme="minorHAnsi" w:hAnsiTheme="minorHAnsi"/>
          <w:color w:val="auto"/>
          <w:sz w:val="22"/>
          <w:szCs w:val="22"/>
        </w:rPr>
        <w:t>XXXXXX, le XX/XX/XX</w:t>
      </w:r>
    </w:p>
    <w:p w:rsidR="00F729B7" w:rsidRPr="00646009" w:rsidRDefault="00F729B7" w:rsidP="006E6FC6">
      <w:pPr>
        <w:pStyle w:val="Default"/>
        <w:spacing w:after="120" w:line="276" w:lineRule="auto"/>
        <w:jc w:val="both"/>
        <w:rPr>
          <w:rFonts w:asciiTheme="minorHAnsi" w:hAnsiTheme="minorHAnsi"/>
          <w:color w:val="auto"/>
          <w:sz w:val="22"/>
          <w:szCs w:val="22"/>
        </w:rPr>
      </w:pPr>
    </w:p>
    <w:p w:rsidR="00377C1F" w:rsidRDefault="00377C1F" w:rsidP="00377C1F">
      <w:pPr>
        <w:pStyle w:val="Default"/>
        <w:tabs>
          <w:tab w:val="left" w:pos="5103"/>
        </w:tabs>
        <w:jc w:val="both"/>
        <w:rPr>
          <w:rFonts w:asciiTheme="minorHAnsi" w:hAnsiTheme="minorHAnsi"/>
          <w:color w:val="auto"/>
          <w:sz w:val="22"/>
          <w:szCs w:val="22"/>
        </w:rPr>
      </w:pPr>
      <w:r>
        <w:rPr>
          <w:rFonts w:asciiTheme="minorHAnsi" w:hAnsiTheme="minorHAnsi"/>
          <w:color w:val="auto"/>
          <w:sz w:val="22"/>
          <w:szCs w:val="22"/>
        </w:rPr>
        <w:t>Pour le gestionnaire d’ESMS,</w:t>
      </w:r>
      <w:r>
        <w:rPr>
          <w:rFonts w:asciiTheme="minorHAnsi" w:hAnsiTheme="minorHAnsi"/>
          <w:color w:val="auto"/>
          <w:sz w:val="22"/>
          <w:szCs w:val="22"/>
        </w:rPr>
        <w:tab/>
        <w:t xml:space="preserve">Pour l’ARS Grand Est </w:t>
      </w:r>
    </w:p>
    <w:p w:rsidR="00377C1F" w:rsidRDefault="00377C1F" w:rsidP="00377C1F">
      <w:pPr>
        <w:pStyle w:val="Default"/>
        <w:tabs>
          <w:tab w:val="left" w:pos="5103"/>
        </w:tabs>
        <w:jc w:val="both"/>
        <w:rPr>
          <w:rFonts w:asciiTheme="minorHAnsi" w:hAnsiTheme="minorHAnsi"/>
          <w:color w:val="auto"/>
          <w:sz w:val="22"/>
          <w:szCs w:val="22"/>
        </w:rPr>
      </w:pPr>
      <w:r>
        <w:rPr>
          <w:rFonts w:asciiTheme="minorHAnsi" w:hAnsiTheme="minorHAnsi"/>
          <w:color w:val="auto"/>
          <w:sz w:val="22"/>
          <w:szCs w:val="22"/>
        </w:rPr>
        <w:t>Le représentant dûment habilité,</w:t>
      </w:r>
      <w:r>
        <w:rPr>
          <w:rFonts w:asciiTheme="minorHAnsi" w:hAnsiTheme="minorHAnsi"/>
          <w:color w:val="auto"/>
          <w:sz w:val="22"/>
          <w:szCs w:val="22"/>
        </w:rPr>
        <w:tab/>
        <w:t>Le Directeur Général de l’ARS,</w:t>
      </w:r>
    </w:p>
    <w:p w:rsidR="00377C1F" w:rsidRDefault="00377C1F" w:rsidP="00377C1F">
      <w:pPr>
        <w:pStyle w:val="Default"/>
        <w:jc w:val="both"/>
        <w:rPr>
          <w:rFonts w:asciiTheme="minorHAnsi" w:hAnsiTheme="minorHAnsi"/>
          <w:color w:val="auto"/>
          <w:sz w:val="22"/>
          <w:szCs w:val="22"/>
        </w:rPr>
      </w:pPr>
    </w:p>
    <w:p w:rsidR="00377C1F" w:rsidRDefault="00377C1F" w:rsidP="00377C1F">
      <w:pPr>
        <w:pStyle w:val="Default"/>
        <w:jc w:val="both"/>
        <w:rPr>
          <w:rFonts w:asciiTheme="minorHAnsi" w:hAnsiTheme="minorHAnsi"/>
          <w:color w:val="auto"/>
          <w:sz w:val="22"/>
          <w:szCs w:val="22"/>
        </w:rPr>
      </w:pPr>
    </w:p>
    <w:p w:rsidR="00377C1F" w:rsidRDefault="00377C1F" w:rsidP="00377C1F">
      <w:pPr>
        <w:pStyle w:val="Default"/>
        <w:jc w:val="both"/>
        <w:rPr>
          <w:rFonts w:asciiTheme="minorHAnsi" w:hAnsiTheme="minorHAnsi"/>
          <w:color w:val="auto"/>
          <w:sz w:val="22"/>
          <w:szCs w:val="22"/>
        </w:rPr>
      </w:pPr>
    </w:p>
    <w:p w:rsidR="00377C1F" w:rsidRDefault="00377C1F">
      <w:pPr>
        <w:spacing w:after="200"/>
        <w:rPr>
          <w:rFonts w:cs="Arial"/>
          <w:b/>
          <w:u w:val="single"/>
        </w:rPr>
      </w:pPr>
      <w:r>
        <w:rPr>
          <w:b/>
          <w:u w:val="single"/>
        </w:rPr>
        <w:br w:type="page"/>
      </w:r>
    </w:p>
    <w:p w:rsidR="005B4446" w:rsidRPr="006622CD" w:rsidRDefault="005B4446" w:rsidP="006E6FC6">
      <w:pPr>
        <w:pStyle w:val="Default"/>
        <w:spacing w:line="276" w:lineRule="auto"/>
        <w:jc w:val="both"/>
        <w:rPr>
          <w:rFonts w:asciiTheme="minorHAnsi" w:hAnsiTheme="minorHAnsi"/>
          <w:b/>
          <w:color w:val="auto"/>
          <w:sz w:val="22"/>
          <w:szCs w:val="22"/>
          <w:u w:val="single"/>
        </w:rPr>
      </w:pPr>
      <w:r w:rsidRPr="006622CD">
        <w:rPr>
          <w:rFonts w:asciiTheme="minorHAnsi" w:hAnsiTheme="minorHAnsi"/>
          <w:b/>
          <w:color w:val="auto"/>
          <w:sz w:val="22"/>
          <w:szCs w:val="22"/>
          <w:u w:val="single"/>
        </w:rPr>
        <w:lastRenderedPageBreak/>
        <w:t>ANNEXES OBLIGATOIRES AU CPOM</w:t>
      </w:r>
    </w:p>
    <w:p w:rsidR="005B4446" w:rsidRDefault="005B4446" w:rsidP="006E6FC6">
      <w:pPr>
        <w:pStyle w:val="Default"/>
        <w:spacing w:line="276" w:lineRule="auto"/>
        <w:jc w:val="both"/>
        <w:rPr>
          <w:rFonts w:asciiTheme="minorHAnsi" w:hAnsiTheme="minorHAnsi"/>
          <w:color w:val="auto"/>
          <w:sz w:val="22"/>
          <w:szCs w:val="22"/>
        </w:rPr>
      </w:pPr>
    </w:p>
    <w:p w:rsidR="00541AD4" w:rsidRDefault="00541AD4" w:rsidP="003B3AED">
      <w:pPr>
        <w:pStyle w:val="Default"/>
        <w:spacing w:after="120" w:line="276" w:lineRule="auto"/>
        <w:jc w:val="both"/>
        <w:rPr>
          <w:rFonts w:asciiTheme="minorHAnsi" w:hAnsiTheme="minorHAnsi"/>
          <w:color w:val="auto"/>
          <w:sz w:val="22"/>
          <w:szCs w:val="22"/>
        </w:rPr>
      </w:pPr>
      <w:r>
        <w:rPr>
          <w:rFonts w:asciiTheme="minorHAnsi" w:hAnsiTheme="minorHAnsi"/>
          <w:color w:val="auto"/>
          <w:sz w:val="22"/>
          <w:szCs w:val="22"/>
        </w:rPr>
        <w:t>Les annexes sont jointes au contrat et sont opposables aux parties signataires comme le corps du contrat.</w:t>
      </w:r>
    </w:p>
    <w:p w:rsidR="00541AD4" w:rsidRPr="00646009" w:rsidRDefault="00541AD4" w:rsidP="003B3AED">
      <w:pPr>
        <w:pStyle w:val="Default"/>
        <w:spacing w:after="120" w:line="276" w:lineRule="auto"/>
        <w:jc w:val="both"/>
        <w:outlineLvl w:val="1"/>
        <w:rPr>
          <w:rFonts w:asciiTheme="minorHAnsi" w:hAnsiTheme="minorHAnsi"/>
          <w:color w:val="auto"/>
          <w:sz w:val="22"/>
          <w:szCs w:val="22"/>
        </w:rPr>
      </w:pPr>
    </w:p>
    <w:p w:rsidR="005B4446" w:rsidRPr="00646009" w:rsidRDefault="001F11B5" w:rsidP="003B3AED">
      <w:pPr>
        <w:pStyle w:val="Default"/>
        <w:spacing w:after="120" w:line="276" w:lineRule="auto"/>
        <w:jc w:val="both"/>
        <w:outlineLvl w:val="1"/>
        <w:rPr>
          <w:rFonts w:asciiTheme="minorHAnsi" w:hAnsiTheme="minorHAnsi"/>
          <w:color w:val="auto"/>
          <w:sz w:val="22"/>
          <w:szCs w:val="22"/>
        </w:rPr>
      </w:pPr>
      <w:bookmarkStart w:id="10" w:name="_Toc494049541"/>
      <w:r w:rsidRPr="00646009">
        <w:rPr>
          <w:rFonts w:asciiTheme="minorHAnsi" w:hAnsiTheme="minorHAnsi"/>
          <w:color w:val="auto"/>
          <w:sz w:val="22"/>
          <w:szCs w:val="22"/>
        </w:rPr>
        <w:t>Annexe 1 :</w:t>
      </w:r>
      <w:r w:rsidR="005B4446" w:rsidRPr="00646009">
        <w:rPr>
          <w:rFonts w:asciiTheme="minorHAnsi" w:hAnsiTheme="minorHAnsi"/>
          <w:color w:val="auto"/>
          <w:sz w:val="22"/>
          <w:szCs w:val="22"/>
        </w:rPr>
        <w:t xml:space="preserve"> Synthèse du diagnostic partagé</w:t>
      </w:r>
      <w:bookmarkEnd w:id="10"/>
    </w:p>
    <w:p w:rsidR="005B4446" w:rsidRPr="00646009" w:rsidRDefault="001F11B5" w:rsidP="003B3AED">
      <w:pPr>
        <w:pStyle w:val="Default"/>
        <w:spacing w:after="120" w:line="276" w:lineRule="auto"/>
        <w:jc w:val="both"/>
        <w:outlineLvl w:val="1"/>
        <w:rPr>
          <w:rFonts w:asciiTheme="minorHAnsi" w:hAnsiTheme="minorHAnsi"/>
          <w:color w:val="auto"/>
          <w:sz w:val="22"/>
          <w:szCs w:val="22"/>
        </w:rPr>
      </w:pPr>
      <w:bookmarkStart w:id="11" w:name="_Toc494049542"/>
      <w:r w:rsidRPr="00646009">
        <w:rPr>
          <w:rFonts w:asciiTheme="minorHAnsi" w:hAnsiTheme="minorHAnsi"/>
          <w:color w:val="auto"/>
          <w:sz w:val="22"/>
          <w:szCs w:val="22"/>
        </w:rPr>
        <w:t>Annexe 2 :</w:t>
      </w:r>
      <w:r w:rsidR="005B4446" w:rsidRPr="00646009">
        <w:rPr>
          <w:rFonts w:asciiTheme="minorHAnsi" w:hAnsiTheme="minorHAnsi"/>
          <w:color w:val="auto"/>
          <w:sz w:val="22"/>
          <w:szCs w:val="22"/>
        </w:rPr>
        <w:t xml:space="preserve"> Tableau de synthèse des objectifs et actions du CPOM</w:t>
      </w:r>
      <w:bookmarkEnd w:id="11"/>
    </w:p>
    <w:p w:rsidR="005B4446" w:rsidRPr="00646009" w:rsidRDefault="001F11B5" w:rsidP="003B3AED">
      <w:pPr>
        <w:pStyle w:val="Default"/>
        <w:spacing w:after="120" w:line="276" w:lineRule="auto"/>
        <w:jc w:val="both"/>
        <w:outlineLvl w:val="1"/>
        <w:rPr>
          <w:rFonts w:asciiTheme="minorHAnsi" w:hAnsiTheme="minorHAnsi"/>
          <w:color w:val="auto"/>
          <w:sz w:val="22"/>
          <w:szCs w:val="22"/>
        </w:rPr>
      </w:pPr>
      <w:bookmarkStart w:id="12" w:name="_Toc494049543"/>
      <w:r w:rsidRPr="00646009">
        <w:rPr>
          <w:rFonts w:asciiTheme="minorHAnsi" w:hAnsiTheme="minorHAnsi"/>
          <w:color w:val="auto"/>
          <w:sz w:val="22"/>
          <w:szCs w:val="22"/>
        </w:rPr>
        <w:t>Annexe 3 :</w:t>
      </w:r>
      <w:r w:rsidR="005B4446" w:rsidRPr="00646009">
        <w:rPr>
          <w:rFonts w:asciiTheme="minorHAnsi" w:hAnsiTheme="minorHAnsi"/>
          <w:color w:val="auto"/>
          <w:sz w:val="22"/>
          <w:szCs w:val="22"/>
        </w:rPr>
        <w:t xml:space="preserve"> Fiches actions du CPOM</w:t>
      </w:r>
      <w:bookmarkEnd w:id="12"/>
    </w:p>
    <w:p w:rsidR="005B4446" w:rsidRPr="00646009" w:rsidRDefault="001F11B5" w:rsidP="003B3AED">
      <w:pPr>
        <w:pStyle w:val="Default"/>
        <w:spacing w:after="120" w:line="276" w:lineRule="auto"/>
        <w:jc w:val="both"/>
        <w:outlineLvl w:val="1"/>
        <w:rPr>
          <w:rFonts w:asciiTheme="minorHAnsi" w:hAnsiTheme="minorHAnsi"/>
          <w:color w:val="auto"/>
          <w:sz w:val="22"/>
          <w:szCs w:val="22"/>
        </w:rPr>
      </w:pPr>
      <w:bookmarkStart w:id="13" w:name="_Toc494049544"/>
      <w:r w:rsidRPr="00646009">
        <w:rPr>
          <w:rFonts w:asciiTheme="minorHAnsi" w:hAnsiTheme="minorHAnsi"/>
          <w:color w:val="auto"/>
          <w:sz w:val="22"/>
          <w:szCs w:val="22"/>
        </w:rPr>
        <w:t>Annexe 4 :</w:t>
      </w:r>
      <w:r w:rsidR="005B4446" w:rsidRPr="00646009">
        <w:rPr>
          <w:rFonts w:asciiTheme="minorHAnsi" w:hAnsiTheme="minorHAnsi"/>
          <w:color w:val="auto"/>
          <w:sz w:val="22"/>
          <w:szCs w:val="22"/>
        </w:rPr>
        <w:t xml:space="preserve"> Synthèse relative à l’évolution des activités prévues dans le cadre du contrat</w:t>
      </w:r>
      <w:bookmarkEnd w:id="13"/>
    </w:p>
    <w:p w:rsidR="005B4446" w:rsidRPr="00646009" w:rsidRDefault="001F11B5" w:rsidP="003B3AED">
      <w:pPr>
        <w:pStyle w:val="Default"/>
        <w:spacing w:after="120" w:line="276" w:lineRule="auto"/>
        <w:jc w:val="both"/>
        <w:outlineLvl w:val="1"/>
        <w:rPr>
          <w:rFonts w:asciiTheme="minorHAnsi" w:hAnsiTheme="minorHAnsi"/>
          <w:color w:val="auto"/>
          <w:sz w:val="22"/>
          <w:szCs w:val="22"/>
        </w:rPr>
      </w:pPr>
      <w:bookmarkStart w:id="14" w:name="_Toc494049545"/>
      <w:r w:rsidRPr="00646009">
        <w:rPr>
          <w:rFonts w:asciiTheme="minorHAnsi" w:hAnsiTheme="minorHAnsi"/>
          <w:color w:val="auto"/>
          <w:sz w:val="22"/>
          <w:szCs w:val="22"/>
        </w:rPr>
        <w:t>Annexe 5 :</w:t>
      </w:r>
      <w:r w:rsidR="005B4446" w:rsidRPr="00646009">
        <w:rPr>
          <w:rFonts w:asciiTheme="minorHAnsi" w:hAnsiTheme="minorHAnsi"/>
          <w:color w:val="auto"/>
          <w:sz w:val="22"/>
          <w:szCs w:val="22"/>
        </w:rPr>
        <w:t xml:space="preserve"> Synthèse des moyens mobilisés pendant le CPOM</w:t>
      </w:r>
      <w:bookmarkEnd w:id="14"/>
    </w:p>
    <w:p w:rsidR="00D11808" w:rsidRDefault="001F11B5" w:rsidP="003B3AED">
      <w:pPr>
        <w:pStyle w:val="Default"/>
        <w:spacing w:after="120" w:line="276" w:lineRule="auto"/>
        <w:jc w:val="both"/>
        <w:outlineLvl w:val="1"/>
        <w:rPr>
          <w:rFonts w:asciiTheme="minorHAnsi" w:hAnsiTheme="minorHAnsi"/>
          <w:color w:val="auto"/>
          <w:sz w:val="22"/>
          <w:szCs w:val="22"/>
        </w:rPr>
      </w:pPr>
      <w:bookmarkStart w:id="15" w:name="_Toc494049546"/>
      <w:r w:rsidRPr="00646009">
        <w:rPr>
          <w:rFonts w:asciiTheme="minorHAnsi" w:hAnsiTheme="minorHAnsi"/>
          <w:color w:val="auto"/>
          <w:sz w:val="22"/>
          <w:szCs w:val="22"/>
        </w:rPr>
        <w:t>Annexe 6 :</w:t>
      </w:r>
      <w:r w:rsidR="0097515D">
        <w:rPr>
          <w:rFonts w:asciiTheme="minorHAnsi" w:hAnsiTheme="minorHAnsi"/>
          <w:color w:val="auto"/>
          <w:sz w:val="22"/>
          <w:szCs w:val="22"/>
        </w:rPr>
        <w:t xml:space="preserve"> D</w:t>
      </w:r>
      <w:r w:rsidR="005B4446" w:rsidRPr="00646009">
        <w:rPr>
          <w:rFonts w:asciiTheme="minorHAnsi" w:hAnsiTheme="minorHAnsi"/>
          <w:color w:val="auto"/>
          <w:sz w:val="22"/>
          <w:szCs w:val="22"/>
        </w:rPr>
        <w:t>ernier PPI approuvé ou tableau prévisionnel des investissements</w:t>
      </w:r>
      <w:bookmarkEnd w:id="15"/>
    </w:p>
    <w:sectPr w:rsidR="00D11808" w:rsidSect="00F26627">
      <w:pgSz w:w="11906" w:h="16838"/>
      <w:pgMar w:top="1417" w:right="1417" w:bottom="1417" w:left="1417"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924" w:rsidRDefault="00AB0924" w:rsidP="008804F1">
      <w:pPr>
        <w:spacing w:after="0" w:line="240" w:lineRule="auto"/>
      </w:pPr>
      <w:r>
        <w:separator/>
      </w:r>
    </w:p>
  </w:endnote>
  <w:endnote w:type="continuationSeparator" w:id="0">
    <w:p w:rsidR="00AB0924" w:rsidRDefault="00AB0924" w:rsidP="00880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TE459CF9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 w:name="font332">
    <w:altName w:val="Times New Roman"/>
    <w:charset w:val="00"/>
    <w:family w:val="auto"/>
    <w:pitch w:val="variable"/>
  </w:font>
  <w:font w:name="font279">
    <w:altName w:val="MS PMincho"/>
    <w:charset w:val="80"/>
    <w:family w:val="roman"/>
    <w:pitch w:val="default"/>
  </w:font>
  <w:font w:name="Helvetica-Bold">
    <w:altName w:val="Times New Roman"/>
    <w:charset w:val="00"/>
    <w:family w:val="auto"/>
    <w:pitch w:val="variable"/>
  </w:font>
  <w:font w:name="Mangal">
    <w:panose1 w:val="02040503050203030202"/>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MS-PGothic">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924" w:rsidRPr="001F11B5" w:rsidRDefault="00AB0924" w:rsidP="00F26627">
    <w:pPr>
      <w:pStyle w:val="Pieddepage"/>
      <w:pBdr>
        <w:top w:val="thinThickSmallGap" w:sz="24" w:space="8" w:color="622423" w:themeColor="accent2" w:themeShade="7F"/>
      </w:pBdr>
      <w:rPr>
        <w:sz w:val="24"/>
        <w:szCs w:val="24"/>
      </w:rPr>
    </w:pPr>
    <w:r w:rsidRPr="001F11B5">
      <w:rPr>
        <w:sz w:val="24"/>
        <w:szCs w:val="24"/>
      </w:rPr>
      <w:t>ARS Grand Est</w:t>
    </w:r>
    <w:r w:rsidRPr="00F26627">
      <w:rPr>
        <w:sz w:val="24"/>
        <w:szCs w:val="24"/>
      </w:rPr>
      <w:t xml:space="preserve"> </w:t>
    </w:r>
    <w:r>
      <w:rPr>
        <w:sz w:val="24"/>
        <w:szCs w:val="24"/>
      </w:rPr>
      <w:t xml:space="preserve">– CPOM </w:t>
    </w:r>
    <w:r>
      <w:rPr>
        <w:sz w:val="24"/>
        <w:szCs w:val="24"/>
      </w:rPr>
      <w:fldChar w:fldCharType="begin"/>
    </w:r>
    <w:r>
      <w:rPr>
        <w:sz w:val="24"/>
        <w:szCs w:val="24"/>
      </w:rPr>
      <w:instrText xml:space="preserve"> REF  Nom_du_gestionnaire  \* MERGEFORMAT </w:instrText>
    </w:r>
    <w:r>
      <w:rPr>
        <w:sz w:val="24"/>
        <w:szCs w:val="24"/>
      </w:rPr>
      <w:fldChar w:fldCharType="separate"/>
    </w:r>
    <w:r w:rsidR="00696679" w:rsidRPr="00696679">
      <w:rPr>
        <w:b/>
        <w:bCs/>
        <w:sz w:val="24"/>
        <w:szCs w:val="24"/>
      </w:rPr>
      <w:t>Nom du gestionnaire</w:t>
    </w:r>
    <w:r>
      <w:rPr>
        <w:sz w:val="24"/>
        <w:szCs w:val="24"/>
      </w:rPr>
      <w:fldChar w:fldCharType="end"/>
    </w:r>
    <w:r w:rsidRPr="001F11B5">
      <w:rPr>
        <w:sz w:val="24"/>
        <w:szCs w:val="24"/>
      </w:rPr>
      <w:ptab w:relativeTo="margin" w:alignment="right" w:leader="none"/>
    </w:r>
    <w:r w:rsidRPr="001F11B5">
      <w:rPr>
        <w:sz w:val="24"/>
        <w:szCs w:val="24"/>
      </w:rPr>
      <w:fldChar w:fldCharType="begin"/>
    </w:r>
    <w:r w:rsidRPr="001F11B5">
      <w:rPr>
        <w:sz w:val="24"/>
        <w:szCs w:val="24"/>
      </w:rPr>
      <w:instrText xml:space="preserve"> PAGE   \* MERGEFORMAT </w:instrText>
    </w:r>
    <w:r w:rsidRPr="001F11B5">
      <w:rPr>
        <w:sz w:val="24"/>
        <w:szCs w:val="24"/>
      </w:rPr>
      <w:fldChar w:fldCharType="separate"/>
    </w:r>
    <w:r w:rsidR="00C31ECE">
      <w:rPr>
        <w:noProof/>
        <w:sz w:val="24"/>
        <w:szCs w:val="24"/>
      </w:rPr>
      <w:t>6</w:t>
    </w:r>
    <w:r w:rsidRPr="001F11B5">
      <w:rPr>
        <w:noProof/>
        <w:sz w:val="24"/>
        <w:szCs w:val="24"/>
      </w:rPr>
      <w:fldChar w:fldCharType="end"/>
    </w:r>
    <w:r>
      <w:rPr>
        <w:noProof/>
        <w:sz w:val="24"/>
        <w:szCs w:val="24"/>
      </w:rPr>
      <w:t>/</w:t>
    </w:r>
    <w:r>
      <w:rPr>
        <w:noProof/>
        <w:sz w:val="24"/>
        <w:szCs w:val="24"/>
      </w:rPr>
      <w:fldChar w:fldCharType="begin"/>
    </w:r>
    <w:r>
      <w:rPr>
        <w:noProof/>
        <w:sz w:val="24"/>
        <w:szCs w:val="24"/>
      </w:rPr>
      <w:instrText xml:space="preserve"> NUMPAGES   \* MERGEFORMAT </w:instrText>
    </w:r>
    <w:r>
      <w:rPr>
        <w:noProof/>
        <w:sz w:val="24"/>
        <w:szCs w:val="24"/>
      </w:rPr>
      <w:fldChar w:fldCharType="separate"/>
    </w:r>
    <w:r w:rsidR="00C31ECE">
      <w:rPr>
        <w:noProof/>
        <w:sz w:val="24"/>
        <w:szCs w:val="24"/>
      </w:rPr>
      <w:t>16</w:t>
    </w:r>
    <w:r>
      <w:rPr>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924" w:rsidRDefault="00AB0924" w:rsidP="008804F1">
      <w:pPr>
        <w:spacing w:after="0" w:line="240" w:lineRule="auto"/>
      </w:pPr>
      <w:r>
        <w:separator/>
      </w:r>
    </w:p>
  </w:footnote>
  <w:footnote w:type="continuationSeparator" w:id="0">
    <w:p w:rsidR="00AB0924" w:rsidRDefault="00AB0924" w:rsidP="00880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0000005"/>
    <w:multiLevelType w:val="multilevel"/>
    <w:tmpl w:val="00000005"/>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25C446A"/>
    <w:multiLevelType w:val="hybridMultilevel"/>
    <w:tmpl w:val="8CB6A1D6"/>
    <w:lvl w:ilvl="0" w:tplc="8DCEA7BA">
      <w:start w:val="1"/>
      <w:numFmt w:val="bullet"/>
      <w:lvlText w:val="-"/>
      <w:lvlJc w:val="left"/>
      <w:pPr>
        <w:ind w:left="721" w:hanging="360"/>
      </w:pPr>
      <w:rPr>
        <w:rFonts w:ascii="Calibri" w:eastAsiaTheme="minorHAnsi" w:hAnsi="Calibri" w:cs="Arial" w:hint="default"/>
      </w:rPr>
    </w:lvl>
    <w:lvl w:ilvl="1" w:tplc="040C0003">
      <w:start w:val="1"/>
      <w:numFmt w:val="bullet"/>
      <w:lvlText w:val="o"/>
      <w:lvlJc w:val="left"/>
      <w:pPr>
        <w:ind w:left="1441" w:hanging="360"/>
      </w:pPr>
      <w:rPr>
        <w:rFonts w:ascii="Courier New" w:hAnsi="Courier New" w:cs="Courier New" w:hint="default"/>
      </w:rPr>
    </w:lvl>
    <w:lvl w:ilvl="2" w:tplc="040C0005">
      <w:start w:val="1"/>
      <w:numFmt w:val="bullet"/>
      <w:lvlText w:val=""/>
      <w:lvlJc w:val="left"/>
      <w:pPr>
        <w:ind w:left="2161" w:hanging="360"/>
      </w:pPr>
      <w:rPr>
        <w:rFonts w:ascii="Wingdings" w:hAnsi="Wingdings" w:hint="default"/>
      </w:rPr>
    </w:lvl>
    <w:lvl w:ilvl="3" w:tplc="040C0001">
      <w:start w:val="1"/>
      <w:numFmt w:val="bullet"/>
      <w:lvlText w:val=""/>
      <w:lvlJc w:val="left"/>
      <w:pPr>
        <w:ind w:left="2881" w:hanging="360"/>
      </w:pPr>
      <w:rPr>
        <w:rFonts w:ascii="Symbol" w:hAnsi="Symbol" w:hint="default"/>
      </w:rPr>
    </w:lvl>
    <w:lvl w:ilvl="4" w:tplc="040C0003">
      <w:start w:val="1"/>
      <w:numFmt w:val="bullet"/>
      <w:lvlText w:val="o"/>
      <w:lvlJc w:val="left"/>
      <w:pPr>
        <w:ind w:left="3601" w:hanging="360"/>
      </w:pPr>
      <w:rPr>
        <w:rFonts w:ascii="Courier New" w:hAnsi="Courier New" w:cs="Courier New" w:hint="default"/>
      </w:rPr>
    </w:lvl>
    <w:lvl w:ilvl="5" w:tplc="040C0005">
      <w:start w:val="1"/>
      <w:numFmt w:val="bullet"/>
      <w:lvlText w:val=""/>
      <w:lvlJc w:val="left"/>
      <w:pPr>
        <w:ind w:left="4321" w:hanging="360"/>
      </w:pPr>
      <w:rPr>
        <w:rFonts w:ascii="Wingdings" w:hAnsi="Wingdings" w:hint="default"/>
      </w:rPr>
    </w:lvl>
    <w:lvl w:ilvl="6" w:tplc="040C0001">
      <w:start w:val="1"/>
      <w:numFmt w:val="bullet"/>
      <w:lvlText w:val=""/>
      <w:lvlJc w:val="left"/>
      <w:pPr>
        <w:ind w:left="5041" w:hanging="360"/>
      </w:pPr>
      <w:rPr>
        <w:rFonts w:ascii="Symbol" w:hAnsi="Symbol" w:hint="default"/>
      </w:rPr>
    </w:lvl>
    <w:lvl w:ilvl="7" w:tplc="040C0003">
      <w:start w:val="1"/>
      <w:numFmt w:val="bullet"/>
      <w:lvlText w:val="o"/>
      <w:lvlJc w:val="left"/>
      <w:pPr>
        <w:ind w:left="5761" w:hanging="360"/>
      </w:pPr>
      <w:rPr>
        <w:rFonts w:ascii="Courier New" w:hAnsi="Courier New" w:cs="Courier New" w:hint="default"/>
      </w:rPr>
    </w:lvl>
    <w:lvl w:ilvl="8" w:tplc="040C0005">
      <w:start w:val="1"/>
      <w:numFmt w:val="bullet"/>
      <w:lvlText w:val=""/>
      <w:lvlJc w:val="left"/>
      <w:pPr>
        <w:ind w:left="6481" w:hanging="360"/>
      </w:pPr>
      <w:rPr>
        <w:rFonts w:ascii="Wingdings" w:hAnsi="Wingdings" w:hint="default"/>
      </w:rPr>
    </w:lvl>
  </w:abstractNum>
  <w:abstractNum w:abstractNumId="3">
    <w:nsid w:val="07810866"/>
    <w:multiLevelType w:val="hybridMultilevel"/>
    <w:tmpl w:val="84A4F0EA"/>
    <w:lvl w:ilvl="0" w:tplc="7988F624">
      <w:numFmt w:val="bullet"/>
      <w:lvlText w:val="-"/>
      <w:lvlJc w:val="left"/>
      <w:pPr>
        <w:ind w:left="720" w:hanging="360"/>
      </w:pPr>
      <w:rPr>
        <w:rFonts w:ascii="Calibri" w:eastAsiaTheme="minorHAnsi" w:hAnsi="Calibri" w:cs="TTE459CF90t00"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C82269"/>
    <w:multiLevelType w:val="hybridMultilevel"/>
    <w:tmpl w:val="A80E9B02"/>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A9B040E"/>
    <w:multiLevelType w:val="hybridMultilevel"/>
    <w:tmpl w:val="6DCA41A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551AE9"/>
    <w:multiLevelType w:val="hybridMultilevel"/>
    <w:tmpl w:val="4B462C48"/>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911D7"/>
    <w:multiLevelType w:val="hybridMultilevel"/>
    <w:tmpl w:val="907C8634"/>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3F4254A"/>
    <w:multiLevelType w:val="hybridMultilevel"/>
    <w:tmpl w:val="0FFA39F6"/>
    <w:lvl w:ilvl="0" w:tplc="AC0018AE">
      <w:start w:val="4"/>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68E7F60"/>
    <w:multiLevelType w:val="hybridMultilevel"/>
    <w:tmpl w:val="9A28670A"/>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9D114B2"/>
    <w:multiLevelType w:val="hybridMultilevel"/>
    <w:tmpl w:val="24B6E4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238A29FA"/>
    <w:multiLevelType w:val="hybridMultilevel"/>
    <w:tmpl w:val="4AA28356"/>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5DD3D2A"/>
    <w:multiLevelType w:val="hybridMultilevel"/>
    <w:tmpl w:val="5E125B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7D7206E"/>
    <w:multiLevelType w:val="hybridMultilevel"/>
    <w:tmpl w:val="A8402F1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A71492"/>
    <w:multiLevelType w:val="hybridMultilevel"/>
    <w:tmpl w:val="CC84A18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0270814"/>
    <w:multiLevelType w:val="hybridMultilevel"/>
    <w:tmpl w:val="D28CBAA2"/>
    <w:lvl w:ilvl="0" w:tplc="E26618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20403F0"/>
    <w:multiLevelType w:val="hybridMultilevel"/>
    <w:tmpl w:val="8586FBC6"/>
    <w:lvl w:ilvl="0" w:tplc="29E6DB60">
      <w:start w:val="2"/>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36BD35DD"/>
    <w:multiLevelType w:val="hybridMultilevel"/>
    <w:tmpl w:val="CCA8D1BE"/>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B8633F"/>
    <w:multiLevelType w:val="hybridMultilevel"/>
    <w:tmpl w:val="E5569E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487088"/>
    <w:multiLevelType w:val="hybridMultilevel"/>
    <w:tmpl w:val="CDF01C4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1ED64E8"/>
    <w:multiLevelType w:val="hybridMultilevel"/>
    <w:tmpl w:val="B7A2744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2284410"/>
    <w:multiLevelType w:val="hybridMultilevel"/>
    <w:tmpl w:val="9F18DB6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nsid w:val="43A54AEC"/>
    <w:multiLevelType w:val="hybridMultilevel"/>
    <w:tmpl w:val="E7FA0E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6AD1A86"/>
    <w:multiLevelType w:val="hybridMultilevel"/>
    <w:tmpl w:val="9250B2A2"/>
    <w:lvl w:ilvl="0" w:tplc="29E6DB60">
      <w:start w:val="2"/>
      <w:numFmt w:val="bullet"/>
      <w:lvlText w:val="-"/>
      <w:lvlJc w:val="left"/>
      <w:pPr>
        <w:ind w:left="2961" w:hanging="360"/>
      </w:pPr>
      <w:rPr>
        <w:rFonts w:ascii="Calibri" w:eastAsiaTheme="minorHAnsi" w:hAnsi="Calibri" w:cstheme="minorBidi" w:hint="default"/>
      </w:rPr>
    </w:lvl>
    <w:lvl w:ilvl="1" w:tplc="040C0003" w:tentative="1">
      <w:start w:val="1"/>
      <w:numFmt w:val="bullet"/>
      <w:lvlText w:val="o"/>
      <w:lvlJc w:val="left"/>
      <w:pPr>
        <w:ind w:left="3681" w:hanging="360"/>
      </w:pPr>
      <w:rPr>
        <w:rFonts w:ascii="Courier New" w:hAnsi="Courier New" w:cs="Courier New" w:hint="default"/>
      </w:rPr>
    </w:lvl>
    <w:lvl w:ilvl="2" w:tplc="040C0005" w:tentative="1">
      <w:start w:val="1"/>
      <w:numFmt w:val="bullet"/>
      <w:lvlText w:val=""/>
      <w:lvlJc w:val="left"/>
      <w:pPr>
        <w:ind w:left="4401" w:hanging="360"/>
      </w:pPr>
      <w:rPr>
        <w:rFonts w:ascii="Wingdings" w:hAnsi="Wingdings" w:hint="default"/>
      </w:rPr>
    </w:lvl>
    <w:lvl w:ilvl="3" w:tplc="040C0001" w:tentative="1">
      <w:start w:val="1"/>
      <w:numFmt w:val="bullet"/>
      <w:lvlText w:val=""/>
      <w:lvlJc w:val="left"/>
      <w:pPr>
        <w:ind w:left="5121" w:hanging="360"/>
      </w:pPr>
      <w:rPr>
        <w:rFonts w:ascii="Symbol" w:hAnsi="Symbol" w:hint="default"/>
      </w:rPr>
    </w:lvl>
    <w:lvl w:ilvl="4" w:tplc="040C0003" w:tentative="1">
      <w:start w:val="1"/>
      <w:numFmt w:val="bullet"/>
      <w:lvlText w:val="o"/>
      <w:lvlJc w:val="left"/>
      <w:pPr>
        <w:ind w:left="5841" w:hanging="360"/>
      </w:pPr>
      <w:rPr>
        <w:rFonts w:ascii="Courier New" w:hAnsi="Courier New" w:cs="Courier New" w:hint="default"/>
      </w:rPr>
    </w:lvl>
    <w:lvl w:ilvl="5" w:tplc="040C0005" w:tentative="1">
      <w:start w:val="1"/>
      <w:numFmt w:val="bullet"/>
      <w:lvlText w:val=""/>
      <w:lvlJc w:val="left"/>
      <w:pPr>
        <w:ind w:left="6561" w:hanging="360"/>
      </w:pPr>
      <w:rPr>
        <w:rFonts w:ascii="Wingdings" w:hAnsi="Wingdings" w:hint="default"/>
      </w:rPr>
    </w:lvl>
    <w:lvl w:ilvl="6" w:tplc="040C0001" w:tentative="1">
      <w:start w:val="1"/>
      <w:numFmt w:val="bullet"/>
      <w:lvlText w:val=""/>
      <w:lvlJc w:val="left"/>
      <w:pPr>
        <w:ind w:left="7281" w:hanging="360"/>
      </w:pPr>
      <w:rPr>
        <w:rFonts w:ascii="Symbol" w:hAnsi="Symbol" w:hint="default"/>
      </w:rPr>
    </w:lvl>
    <w:lvl w:ilvl="7" w:tplc="040C0003" w:tentative="1">
      <w:start w:val="1"/>
      <w:numFmt w:val="bullet"/>
      <w:lvlText w:val="o"/>
      <w:lvlJc w:val="left"/>
      <w:pPr>
        <w:ind w:left="8001" w:hanging="360"/>
      </w:pPr>
      <w:rPr>
        <w:rFonts w:ascii="Courier New" w:hAnsi="Courier New" w:cs="Courier New" w:hint="default"/>
      </w:rPr>
    </w:lvl>
    <w:lvl w:ilvl="8" w:tplc="040C0005" w:tentative="1">
      <w:start w:val="1"/>
      <w:numFmt w:val="bullet"/>
      <w:lvlText w:val=""/>
      <w:lvlJc w:val="left"/>
      <w:pPr>
        <w:ind w:left="8721" w:hanging="360"/>
      </w:pPr>
      <w:rPr>
        <w:rFonts w:ascii="Wingdings" w:hAnsi="Wingdings" w:hint="default"/>
      </w:rPr>
    </w:lvl>
  </w:abstractNum>
  <w:abstractNum w:abstractNumId="24">
    <w:nsid w:val="4B10759A"/>
    <w:multiLevelType w:val="hybridMultilevel"/>
    <w:tmpl w:val="D2E8CB68"/>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AF52C6"/>
    <w:multiLevelType w:val="hybridMultilevel"/>
    <w:tmpl w:val="947E15EA"/>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02C5FBB"/>
    <w:multiLevelType w:val="hybridMultilevel"/>
    <w:tmpl w:val="0F883D04"/>
    <w:lvl w:ilvl="0" w:tplc="C58639E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0A4631"/>
    <w:multiLevelType w:val="hybridMultilevel"/>
    <w:tmpl w:val="ECC8583C"/>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48670A"/>
    <w:multiLevelType w:val="hybridMultilevel"/>
    <w:tmpl w:val="90A6D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ADE50F0"/>
    <w:multiLevelType w:val="hybridMultilevel"/>
    <w:tmpl w:val="C7B87F3A"/>
    <w:lvl w:ilvl="0" w:tplc="4808AC22">
      <w:start w:val="1"/>
      <w:numFmt w:val="upperRoman"/>
      <w:lvlText w:val="%1."/>
      <w:lvlJc w:val="left"/>
      <w:pPr>
        <w:ind w:left="1080" w:hanging="720"/>
      </w:pPr>
      <w:rPr>
        <w:rFonts w:asciiTheme="minorHAnsi" w:eastAsiaTheme="minorEastAsia" w:hAnsiTheme="minorHAnsi" w:cs="Arial"/>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632607CF"/>
    <w:multiLevelType w:val="hybridMultilevel"/>
    <w:tmpl w:val="5DC0ED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155D5D"/>
    <w:multiLevelType w:val="hybridMultilevel"/>
    <w:tmpl w:val="272287BA"/>
    <w:lvl w:ilvl="0" w:tplc="040C0001">
      <w:start w:val="1"/>
      <w:numFmt w:val="bullet"/>
      <w:lvlText w:val=""/>
      <w:lvlJc w:val="left"/>
      <w:pPr>
        <w:ind w:left="721" w:hanging="360"/>
      </w:pPr>
      <w:rPr>
        <w:rFonts w:ascii="Symbol" w:hAnsi="Symbol" w:hint="default"/>
      </w:rPr>
    </w:lvl>
    <w:lvl w:ilvl="1" w:tplc="040C0003" w:tentative="1">
      <w:start w:val="1"/>
      <w:numFmt w:val="bullet"/>
      <w:lvlText w:val="o"/>
      <w:lvlJc w:val="left"/>
      <w:pPr>
        <w:ind w:left="1441" w:hanging="360"/>
      </w:pPr>
      <w:rPr>
        <w:rFonts w:ascii="Courier New" w:hAnsi="Courier New" w:cs="Courier New" w:hint="default"/>
      </w:rPr>
    </w:lvl>
    <w:lvl w:ilvl="2" w:tplc="040C0005" w:tentative="1">
      <w:start w:val="1"/>
      <w:numFmt w:val="bullet"/>
      <w:lvlText w:val=""/>
      <w:lvlJc w:val="left"/>
      <w:pPr>
        <w:ind w:left="2161" w:hanging="360"/>
      </w:pPr>
      <w:rPr>
        <w:rFonts w:ascii="Wingdings" w:hAnsi="Wingdings" w:hint="default"/>
      </w:rPr>
    </w:lvl>
    <w:lvl w:ilvl="3" w:tplc="040C0001" w:tentative="1">
      <w:start w:val="1"/>
      <w:numFmt w:val="bullet"/>
      <w:lvlText w:val=""/>
      <w:lvlJc w:val="left"/>
      <w:pPr>
        <w:ind w:left="2881" w:hanging="360"/>
      </w:pPr>
      <w:rPr>
        <w:rFonts w:ascii="Symbol" w:hAnsi="Symbol" w:hint="default"/>
      </w:rPr>
    </w:lvl>
    <w:lvl w:ilvl="4" w:tplc="040C0003" w:tentative="1">
      <w:start w:val="1"/>
      <w:numFmt w:val="bullet"/>
      <w:lvlText w:val="o"/>
      <w:lvlJc w:val="left"/>
      <w:pPr>
        <w:ind w:left="3601" w:hanging="360"/>
      </w:pPr>
      <w:rPr>
        <w:rFonts w:ascii="Courier New" w:hAnsi="Courier New" w:cs="Courier New" w:hint="default"/>
      </w:rPr>
    </w:lvl>
    <w:lvl w:ilvl="5" w:tplc="040C0005" w:tentative="1">
      <w:start w:val="1"/>
      <w:numFmt w:val="bullet"/>
      <w:lvlText w:val=""/>
      <w:lvlJc w:val="left"/>
      <w:pPr>
        <w:ind w:left="4321" w:hanging="360"/>
      </w:pPr>
      <w:rPr>
        <w:rFonts w:ascii="Wingdings" w:hAnsi="Wingdings" w:hint="default"/>
      </w:rPr>
    </w:lvl>
    <w:lvl w:ilvl="6" w:tplc="040C0001" w:tentative="1">
      <w:start w:val="1"/>
      <w:numFmt w:val="bullet"/>
      <w:lvlText w:val=""/>
      <w:lvlJc w:val="left"/>
      <w:pPr>
        <w:ind w:left="5041" w:hanging="360"/>
      </w:pPr>
      <w:rPr>
        <w:rFonts w:ascii="Symbol" w:hAnsi="Symbol" w:hint="default"/>
      </w:rPr>
    </w:lvl>
    <w:lvl w:ilvl="7" w:tplc="040C0003" w:tentative="1">
      <w:start w:val="1"/>
      <w:numFmt w:val="bullet"/>
      <w:lvlText w:val="o"/>
      <w:lvlJc w:val="left"/>
      <w:pPr>
        <w:ind w:left="5761" w:hanging="360"/>
      </w:pPr>
      <w:rPr>
        <w:rFonts w:ascii="Courier New" w:hAnsi="Courier New" w:cs="Courier New" w:hint="default"/>
      </w:rPr>
    </w:lvl>
    <w:lvl w:ilvl="8" w:tplc="040C0005" w:tentative="1">
      <w:start w:val="1"/>
      <w:numFmt w:val="bullet"/>
      <w:lvlText w:val=""/>
      <w:lvlJc w:val="left"/>
      <w:pPr>
        <w:ind w:left="6481" w:hanging="360"/>
      </w:pPr>
      <w:rPr>
        <w:rFonts w:ascii="Wingdings" w:hAnsi="Wingdings" w:hint="default"/>
      </w:rPr>
    </w:lvl>
  </w:abstractNum>
  <w:abstractNum w:abstractNumId="32">
    <w:nsid w:val="6743445F"/>
    <w:multiLevelType w:val="hybridMultilevel"/>
    <w:tmpl w:val="7F067F06"/>
    <w:lvl w:ilvl="0" w:tplc="8DCEA7BA">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CEF4ABF"/>
    <w:multiLevelType w:val="hybridMultilevel"/>
    <w:tmpl w:val="0926423E"/>
    <w:lvl w:ilvl="0" w:tplc="B8E48B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EE101F1"/>
    <w:multiLevelType w:val="hybridMultilevel"/>
    <w:tmpl w:val="497ECE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78E44E0"/>
    <w:multiLevelType w:val="hybridMultilevel"/>
    <w:tmpl w:val="02782650"/>
    <w:lvl w:ilvl="0" w:tplc="29E6DB60">
      <w:start w:val="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EBF4705"/>
    <w:multiLevelType w:val="hybridMultilevel"/>
    <w:tmpl w:val="B472E8E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12"/>
  </w:num>
  <w:num w:numId="2">
    <w:abstractNumId w:val="26"/>
  </w:num>
  <w:num w:numId="3">
    <w:abstractNumId w:val="33"/>
  </w:num>
  <w:num w:numId="4">
    <w:abstractNumId w:val="20"/>
  </w:num>
  <w:num w:numId="5">
    <w:abstractNumId w:val="23"/>
  </w:num>
  <w:num w:numId="6">
    <w:abstractNumId w:val="7"/>
  </w:num>
  <w:num w:numId="7">
    <w:abstractNumId w:val="29"/>
  </w:num>
  <w:num w:numId="8">
    <w:abstractNumId w:val="3"/>
  </w:num>
  <w:num w:numId="9">
    <w:abstractNumId w:val="15"/>
  </w:num>
  <w:num w:numId="10">
    <w:abstractNumId w:val="34"/>
  </w:num>
  <w:num w:numId="11">
    <w:abstractNumId w:val="36"/>
  </w:num>
  <w:num w:numId="12">
    <w:abstractNumId w:val="28"/>
  </w:num>
  <w:num w:numId="13">
    <w:abstractNumId w:val="10"/>
  </w:num>
  <w:num w:numId="14">
    <w:abstractNumId w:val="21"/>
  </w:num>
  <w:num w:numId="15">
    <w:abstractNumId w:val="18"/>
  </w:num>
  <w:num w:numId="16">
    <w:abstractNumId w:val="0"/>
  </w:num>
  <w:num w:numId="17">
    <w:abstractNumId w:val="1"/>
  </w:num>
  <w:num w:numId="18">
    <w:abstractNumId w:val="31"/>
  </w:num>
  <w:num w:numId="19">
    <w:abstractNumId w:val="8"/>
  </w:num>
  <w:num w:numId="20">
    <w:abstractNumId w:val="17"/>
  </w:num>
  <w:num w:numId="21">
    <w:abstractNumId w:val="25"/>
  </w:num>
  <w:num w:numId="22">
    <w:abstractNumId w:val="22"/>
  </w:num>
  <w:num w:numId="23">
    <w:abstractNumId w:val="13"/>
  </w:num>
  <w:num w:numId="24">
    <w:abstractNumId w:val="6"/>
  </w:num>
  <w:num w:numId="25">
    <w:abstractNumId w:val="9"/>
  </w:num>
  <w:num w:numId="26">
    <w:abstractNumId w:val="14"/>
  </w:num>
  <w:num w:numId="27">
    <w:abstractNumId w:val="4"/>
  </w:num>
  <w:num w:numId="28">
    <w:abstractNumId w:val="32"/>
  </w:num>
  <w:num w:numId="29">
    <w:abstractNumId w:val="24"/>
  </w:num>
  <w:num w:numId="30">
    <w:abstractNumId w:val="27"/>
  </w:num>
  <w:num w:numId="31">
    <w:abstractNumId w:val="19"/>
  </w:num>
  <w:num w:numId="32">
    <w:abstractNumId w:val="5"/>
  </w:num>
  <w:num w:numId="33">
    <w:abstractNumId w:val="11"/>
  </w:num>
  <w:num w:numId="34">
    <w:abstractNumId w:val="30"/>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5"/>
  </w:num>
  <w:num w:numId="38">
    <w:abstractNumId w:val="1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defaultTabStop w:val="708"/>
  <w:hyphenationZone w:val="425"/>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F2D"/>
    <w:rsid w:val="00001C81"/>
    <w:rsid w:val="00007599"/>
    <w:rsid w:val="0001390E"/>
    <w:rsid w:val="00022920"/>
    <w:rsid w:val="0003375B"/>
    <w:rsid w:val="00040B1C"/>
    <w:rsid w:val="00043C3F"/>
    <w:rsid w:val="00044E30"/>
    <w:rsid w:val="00045616"/>
    <w:rsid w:val="0005254E"/>
    <w:rsid w:val="0006257D"/>
    <w:rsid w:val="0006261A"/>
    <w:rsid w:val="00063727"/>
    <w:rsid w:val="000721F8"/>
    <w:rsid w:val="00072930"/>
    <w:rsid w:val="00077D40"/>
    <w:rsid w:val="00081863"/>
    <w:rsid w:val="0008268C"/>
    <w:rsid w:val="00085D33"/>
    <w:rsid w:val="0008683D"/>
    <w:rsid w:val="00090C2A"/>
    <w:rsid w:val="00096A23"/>
    <w:rsid w:val="000A386C"/>
    <w:rsid w:val="000D2734"/>
    <w:rsid w:val="000D7F2D"/>
    <w:rsid w:val="000E6B6D"/>
    <w:rsid w:val="000E7CD5"/>
    <w:rsid w:val="000F5BBC"/>
    <w:rsid w:val="000F6A30"/>
    <w:rsid w:val="000F77C5"/>
    <w:rsid w:val="00111092"/>
    <w:rsid w:val="001114C5"/>
    <w:rsid w:val="0011201D"/>
    <w:rsid w:val="00112EA3"/>
    <w:rsid w:val="001143FC"/>
    <w:rsid w:val="00115B80"/>
    <w:rsid w:val="001424C2"/>
    <w:rsid w:val="00142E0E"/>
    <w:rsid w:val="00164E3F"/>
    <w:rsid w:val="0016677E"/>
    <w:rsid w:val="00172007"/>
    <w:rsid w:val="00172D1F"/>
    <w:rsid w:val="00172FBA"/>
    <w:rsid w:val="0019430F"/>
    <w:rsid w:val="00194961"/>
    <w:rsid w:val="00195C7B"/>
    <w:rsid w:val="00197C7F"/>
    <w:rsid w:val="001A111E"/>
    <w:rsid w:val="001A19F1"/>
    <w:rsid w:val="001B2053"/>
    <w:rsid w:val="001B4D1D"/>
    <w:rsid w:val="001B7343"/>
    <w:rsid w:val="001B7552"/>
    <w:rsid w:val="001C3CB8"/>
    <w:rsid w:val="001C59E9"/>
    <w:rsid w:val="001D213B"/>
    <w:rsid w:val="001D4BBE"/>
    <w:rsid w:val="001E01BD"/>
    <w:rsid w:val="001E0590"/>
    <w:rsid w:val="001E148F"/>
    <w:rsid w:val="001E5819"/>
    <w:rsid w:val="001E5A7D"/>
    <w:rsid w:val="001E62C1"/>
    <w:rsid w:val="001E6D4A"/>
    <w:rsid w:val="001E7DDF"/>
    <w:rsid w:val="001F11B5"/>
    <w:rsid w:val="00200C99"/>
    <w:rsid w:val="00206C26"/>
    <w:rsid w:val="00210A7B"/>
    <w:rsid w:val="00210C4C"/>
    <w:rsid w:val="00211CB5"/>
    <w:rsid w:val="00234F0C"/>
    <w:rsid w:val="00237336"/>
    <w:rsid w:val="0024076D"/>
    <w:rsid w:val="00241CEC"/>
    <w:rsid w:val="00245076"/>
    <w:rsid w:val="0024538C"/>
    <w:rsid w:val="00247284"/>
    <w:rsid w:val="00260147"/>
    <w:rsid w:val="00261B28"/>
    <w:rsid w:val="002620F6"/>
    <w:rsid w:val="0026366F"/>
    <w:rsid w:val="00273254"/>
    <w:rsid w:val="00274396"/>
    <w:rsid w:val="00282ED2"/>
    <w:rsid w:val="002B0E01"/>
    <w:rsid w:val="002B21B0"/>
    <w:rsid w:val="002B5DB2"/>
    <w:rsid w:val="002C10CB"/>
    <w:rsid w:val="002D07A7"/>
    <w:rsid w:val="002D09D9"/>
    <w:rsid w:val="002D11B8"/>
    <w:rsid w:val="002D4093"/>
    <w:rsid w:val="002D4BA4"/>
    <w:rsid w:val="002F1F65"/>
    <w:rsid w:val="00300B62"/>
    <w:rsid w:val="00302A3E"/>
    <w:rsid w:val="003125B9"/>
    <w:rsid w:val="00313834"/>
    <w:rsid w:val="003146DA"/>
    <w:rsid w:val="00322434"/>
    <w:rsid w:val="00330F19"/>
    <w:rsid w:val="0034696A"/>
    <w:rsid w:val="00353ED0"/>
    <w:rsid w:val="003604E5"/>
    <w:rsid w:val="00361F12"/>
    <w:rsid w:val="00371F9D"/>
    <w:rsid w:val="0037285B"/>
    <w:rsid w:val="0037694A"/>
    <w:rsid w:val="00377C1F"/>
    <w:rsid w:val="003872CA"/>
    <w:rsid w:val="00394C30"/>
    <w:rsid w:val="00396799"/>
    <w:rsid w:val="003B3AED"/>
    <w:rsid w:val="003B5939"/>
    <w:rsid w:val="003C523D"/>
    <w:rsid w:val="003C5D3F"/>
    <w:rsid w:val="003C5E6D"/>
    <w:rsid w:val="003D29AE"/>
    <w:rsid w:val="003D696F"/>
    <w:rsid w:val="003E3205"/>
    <w:rsid w:val="003E44F0"/>
    <w:rsid w:val="003E749B"/>
    <w:rsid w:val="003E7714"/>
    <w:rsid w:val="003F1328"/>
    <w:rsid w:val="003F1C34"/>
    <w:rsid w:val="003F40A3"/>
    <w:rsid w:val="003F5483"/>
    <w:rsid w:val="003F6E8E"/>
    <w:rsid w:val="003F75D1"/>
    <w:rsid w:val="004011C0"/>
    <w:rsid w:val="00402D4A"/>
    <w:rsid w:val="004055E3"/>
    <w:rsid w:val="00411526"/>
    <w:rsid w:val="00412604"/>
    <w:rsid w:val="0041600B"/>
    <w:rsid w:val="004219A7"/>
    <w:rsid w:val="00433C01"/>
    <w:rsid w:val="00434B9D"/>
    <w:rsid w:val="00434C93"/>
    <w:rsid w:val="00435E65"/>
    <w:rsid w:val="00440B4A"/>
    <w:rsid w:val="0044447B"/>
    <w:rsid w:val="004456C6"/>
    <w:rsid w:val="00446209"/>
    <w:rsid w:val="00454C61"/>
    <w:rsid w:val="00454EB5"/>
    <w:rsid w:val="00465F7E"/>
    <w:rsid w:val="00472507"/>
    <w:rsid w:val="004744D5"/>
    <w:rsid w:val="004752A8"/>
    <w:rsid w:val="00475AE7"/>
    <w:rsid w:val="00483DA4"/>
    <w:rsid w:val="004847DB"/>
    <w:rsid w:val="004978C8"/>
    <w:rsid w:val="004B45E9"/>
    <w:rsid w:val="004D67AF"/>
    <w:rsid w:val="005031A1"/>
    <w:rsid w:val="0050646A"/>
    <w:rsid w:val="00517535"/>
    <w:rsid w:val="00517BB6"/>
    <w:rsid w:val="005237F0"/>
    <w:rsid w:val="0052600A"/>
    <w:rsid w:val="00526E1B"/>
    <w:rsid w:val="005367C6"/>
    <w:rsid w:val="00541AD4"/>
    <w:rsid w:val="00546F8B"/>
    <w:rsid w:val="005623F8"/>
    <w:rsid w:val="00563CB2"/>
    <w:rsid w:val="00564C1A"/>
    <w:rsid w:val="00567D7B"/>
    <w:rsid w:val="00573ED5"/>
    <w:rsid w:val="00586821"/>
    <w:rsid w:val="00596B0C"/>
    <w:rsid w:val="005A4CE1"/>
    <w:rsid w:val="005B4446"/>
    <w:rsid w:val="005C16FA"/>
    <w:rsid w:val="005D5A77"/>
    <w:rsid w:val="005E1101"/>
    <w:rsid w:val="005E620D"/>
    <w:rsid w:val="005E622E"/>
    <w:rsid w:val="005F2884"/>
    <w:rsid w:val="005F3CD7"/>
    <w:rsid w:val="005F4CF9"/>
    <w:rsid w:val="005F6930"/>
    <w:rsid w:val="00601831"/>
    <w:rsid w:val="00602F94"/>
    <w:rsid w:val="006072E0"/>
    <w:rsid w:val="00610925"/>
    <w:rsid w:val="006270CA"/>
    <w:rsid w:val="006315FB"/>
    <w:rsid w:val="00635B8D"/>
    <w:rsid w:val="00646009"/>
    <w:rsid w:val="006577DC"/>
    <w:rsid w:val="006622CD"/>
    <w:rsid w:val="00673917"/>
    <w:rsid w:val="00675DB4"/>
    <w:rsid w:val="00676319"/>
    <w:rsid w:val="00676A37"/>
    <w:rsid w:val="00681226"/>
    <w:rsid w:val="00683502"/>
    <w:rsid w:val="00696679"/>
    <w:rsid w:val="006A1194"/>
    <w:rsid w:val="006A39F6"/>
    <w:rsid w:val="006A4C26"/>
    <w:rsid w:val="006A5223"/>
    <w:rsid w:val="006A7C90"/>
    <w:rsid w:val="006B2B2F"/>
    <w:rsid w:val="006C45E0"/>
    <w:rsid w:val="006C6864"/>
    <w:rsid w:val="006C6BD1"/>
    <w:rsid w:val="006C6D7D"/>
    <w:rsid w:val="006D514D"/>
    <w:rsid w:val="006E5C75"/>
    <w:rsid w:val="006E6FC6"/>
    <w:rsid w:val="006E70A6"/>
    <w:rsid w:val="006F2DF5"/>
    <w:rsid w:val="006F3F07"/>
    <w:rsid w:val="006F430D"/>
    <w:rsid w:val="0070328D"/>
    <w:rsid w:val="007040AE"/>
    <w:rsid w:val="00704825"/>
    <w:rsid w:val="0070681E"/>
    <w:rsid w:val="00721B8A"/>
    <w:rsid w:val="00725868"/>
    <w:rsid w:val="00726692"/>
    <w:rsid w:val="007503F0"/>
    <w:rsid w:val="0075146D"/>
    <w:rsid w:val="007624EC"/>
    <w:rsid w:val="00766DF3"/>
    <w:rsid w:val="0077034D"/>
    <w:rsid w:val="00770541"/>
    <w:rsid w:val="00771067"/>
    <w:rsid w:val="00772A89"/>
    <w:rsid w:val="0078048E"/>
    <w:rsid w:val="00780EDA"/>
    <w:rsid w:val="007A410E"/>
    <w:rsid w:val="007A6CA7"/>
    <w:rsid w:val="007B3390"/>
    <w:rsid w:val="007C3EDF"/>
    <w:rsid w:val="007E3799"/>
    <w:rsid w:val="007E714A"/>
    <w:rsid w:val="007F04C0"/>
    <w:rsid w:val="007F4A86"/>
    <w:rsid w:val="007F7715"/>
    <w:rsid w:val="008017A3"/>
    <w:rsid w:val="00801F46"/>
    <w:rsid w:val="00802D4A"/>
    <w:rsid w:val="008129A5"/>
    <w:rsid w:val="00813DC1"/>
    <w:rsid w:val="0081581A"/>
    <w:rsid w:val="0082071B"/>
    <w:rsid w:val="00820ABA"/>
    <w:rsid w:val="008309A3"/>
    <w:rsid w:val="008318BB"/>
    <w:rsid w:val="00834167"/>
    <w:rsid w:val="0083710F"/>
    <w:rsid w:val="00841332"/>
    <w:rsid w:val="008449DE"/>
    <w:rsid w:val="00844F03"/>
    <w:rsid w:val="0084671B"/>
    <w:rsid w:val="00846BD6"/>
    <w:rsid w:val="00846BEC"/>
    <w:rsid w:val="00846D6B"/>
    <w:rsid w:val="00873DB5"/>
    <w:rsid w:val="00874802"/>
    <w:rsid w:val="00874DAA"/>
    <w:rsid w:val="00876D2A"/>
    <w:rsid w:val="008804F1"/>
    <w:rsid w:val="00882D3E"/>
    <w:rsid w:val="00885594"/>
    <w:rsid w:val="008856F0"/>
    <w:rsid w:val="00895656"/>
    <w:rsid w:val="008963E8"/>
    <w:rsid w:val="008A19FC"/>
    <w:rsid w:val="008A2AC6"/>
    <w:rsid w:val="008B3749"/>
    <w:rsid w:val="008B6FDB"/>
    <w:rsid w:val="008B739E"/>
    <w:rsid w:val="008C097D"/>
    <w:rsid w:val="008C7CDD"/>
    <w:rsid w:val="008F0D18"/>
    <w:rsid w:val="008F1766"/>
    <w:rsid w:val="008F2D84"/>
    <w:rsid w:val="008F4920"/>
    <w:rsid w:val="008F64BC"/>
    <w:rsid w:val="00903D13"/>
    <w:rsid w:val="00904E84"/>
    <w:rsid w:val="00930316"/>
    <w:rsid w:val="00931619"/>
    <w:rsid w:val="009317E6"/>
    <w:rsid w:val="00940605"/>
    <w:rsid w:val="0095507F"/>
    <w:rsid w:val="009567AD"/>
    <w:rsid w:val="0096306A"/>
    <w:rsid w:val="00965D1E"/>
    <w:rsid w:val="00966A62"/>
    <w:rsid w:val="00967B26"/>
    <w:rsid w:val="0097515D"/>
    <w:rsid w:val="009828DB"/>
    <w:rsid w:val="00987991"/>
    <w:rsid w:val="009B1DF8"/>
    <w:rsid w:val="009B561D"/>
    <w:rsid w:val="009C59F5"/>
    <w:rsid w:val="009C6B7E"/>
    <w:rsid w:val="009C771D"/>
    <w:rsid w:val="009E7C8C"/>
    <w:rsid w:val="009F37B7"/>
    <w:rsid w:val="00A044FB"/>
    <w:rsid w:val="00A33634"/>
    <w:rsid w:val="00A33798"/>
    <w:rsid w:val="00A37CAC"/>
    <w:rsid w:val="00A37F9A"/>
    <w:rsid w:val="00A438FC"/>
    <w:rsid w:val="00A55203"/>
    <w:rsid w:val="00A62091"/>
    <w:rsid w:val="00A64EF6"/>
    <w:rsid w:val="00A65F5F"/>
    <w:rsid w:val="00A67290"/>
    <w:rsid w:val="00A70A2B"/>
    <w:rsid w:val="00A74306"/>
    <w:rsid w:val="00A77968"/>
    <w:rsid w:val="00A82372"/>
    <w:rsid w:val="00A8383D"/>
    <w:rsid w:val="00A83A95"/>
    <w:rsid w:val="00A85A11"/>
    <w:rsid w:val="00A933F0"/>
    <w:rsid w:val="00A960D0"/>
    <w:rsid w:val="00AA16AE"/>
    <w:rsid w:val="00AA58AC"/>
    <w:rsid w:val="00AB0924"/>
    <w:rsid w:val="00AB3ADA"/>
    <w:rsid w:val="00AC28CD"/>
    <w:rsid w:val="00AD0315"/>
    <w:rsid w:val="00AE0A42"/>
    <w:rsid w:val="00B02A28"/>
    <w:rsid w:val="00B126B9"/>
    <w:rsid w:val="00B13362"/>
    <w:rsid w:val="00B14158"/>
    <w:rsid w:val="00B256DF"/>
    <w:rsid w:val="00B25B69"/>
    <w:rsid w:val="00B30299"/>
    <w:rsid w:val="00B33563"/>
    <w:rsid w:val="00B360AC"/>
    <w:rsid w:val="00B37327"/>
    <w:rsid w:val="00B70262"/>
    <w:rsid w:val="00B723D7"/>
    <w:rsid w:val="00B72BC8"/>
    <w:rsid w:val="00B73100"/>
    <w:rsid w:val="00B8315C"/>
    <w:rsid w:val="00BA1590"/>
    <w:rsid w:val="00BA4431"/>
    <w:rsid w:val="00BA7865"/>
    <w:rsid w:val="00BB07C5"/>
    <w:rsid w:val="00BB19FA"/>
    <w:rsid w:val="00BB2097"/>
    <w:rsid w:val="00BB2CA6"/>
    <w:rsid w:val="00BB71F9"/>
    <w:rsid w:val="00BC7E08"/>
    <w:rsid w:val="00BD05D4"/>
    <w:rsid w:val="00BE15EA"/>
    <w:rsid w:val="00BF40D0"/>
    <w:rsid w:val="00C04857"/>
    <w:rsid w:val="00C077D2"/>
    <w:rsid w:val="00C118D4"/>
    <w:rsid w:val="00C31C60"/>
    <w:rsid w:val="00C31ECE"/>
    <w:rsid w:val="00C32446"/>
    <w:rsid w:val="00C376C0"/>
    <w:rsid w:val="00C45252"/>
    <w:rsid w:val="00C45F67"/>
    <w:rsid w:val="00C5366B"/>
    <w:rsid w:val="00C6065C"/>
    <w:rsid w:val="00C66E3C"/>
    <w:rsid w:val="00C7150D"/>
    <w:rsid w:val="00C7273D"/>
    <w:rsid w:val="00C76A6C"/>
    <w:rsid w:val="00C87AA4"/>
    <w:rsid w:val="00CA3552"/>
    <w:rsid w:val="00CA35A9"/>
    <w:rsid w:val="00CA75D9"/>
    <w:rsid w:val="00CB028F"/>
    <w:rsid w:val="00CB4E7A"/>
    <w:rsid w:val="00CC2666"/>
    <w:rsid w:val="00CC3089"/>
    <w:rsid w:val="00CC57B9"/>
    <w:rsid w:val="00CE2FAB"/>
    <w:rsid w:val="00CF2EDB"/>
    <w:rsid w:val="00D00A1D"/>
    <w:rsid w:val="00D02F1B"/>
    <w:rsid w:val="00D03CE6"/>
    <w:rsid w:val="00D11808"/>
    <w:rsid w:val="00D22E50"/>
    <w:rsid w:val="00D22F47"/>
    <w:rsid w:val="00D323F2"/>
    <w:rsid w:val="00D34A4C"/>
    <w:rsid w:val="00D41FEC"/>
    <w:rsid w:val="00D5534A"/>
    <w:rsid w:val="00D55692"/>
    <w:rsid w:val="00D61E04"/>
    <w:rsid w:val="00D65541"/>
    <w:rsid w:val="00D669C9"/>
    <w:rsid w:val="00D77AE0"/>
    <w:rsid w:val="00D8276F"/>
    <w:rsid w:val="00D8373B"/>
    <w:rsid w:val="00D83B06"/>
    <w:rsid w:val="00D9099E"/>
    <w:rsid w:val="00D91B38"/>
    <w:rsid w:val="00DA0305"/>
    <w:rsid w:val="00DA0BED"/>
    <w:rsid w:val="00DB26BC"/>
    <w:rsid w:val="00DC0E20"/>
    <w:rsid w:val="00DC36E7"/>
    <w:rsid w:val="00DC5CB3"/>
    <w:rsid w:val="00DC5E39"/>
    <w:rsid w:val="00DD001A"/>
    <w:rsid w:val="00DD2BC6"/>
    <w:rsid w:val="00DD681E"/>
    <w:rsid w:val="00DD7E3B"/>
    <w:rsid w:val="00DF2AF1"/>
    <w:rsid w:val="00E07914"/>
    <w:rsid w:val="00E1263B"/>
    <w:rsid w:val="00E14ECF"/>
    <w:rsid w:val="00E15EF6"/>
    <w:rsid w:val="00E172D3"/>
    <w:rsid w:val="00E37FD0"/>
    <w:rsid w:val="00E41E99"/>
    <w:rsid w:val="00E443AD"/>
    <w:rsid w:val="00E44FEF"/>
    <w:rsid w:val="00E50648"/>
    <w:rsid w:val="00E54F40"/>
    <w:rsid w:val="00E66274"/>
    <w:rsid w:val="00E75436"/>
    <w:rsid w:val="00E77AB8"/>
    <w:rsid w:val="00E81217"/>
    <w:rsid w:val="00E864AD"/>
    <w:rsid w:val="00E91E5E"/>
    <w:rsid w:val="00E95297"/>
    <w:rsid w:val="00EA06B3"/>
    <w:rsid w:val="00EC0EF9"/>
    <w:rsid w:val="00EC3440"/>
    <w:rsid w:val="00ED12AE"/>
    <w:rsid w:val="00ED180F"/>
    <w:rsid w:val="00EE1758"/>
    <w:rsid w:val="00EE3601"/>
    <w:rsid w:val="00EE39C9"/>
    <w:rsid w:val="00EE7C38"/>
    <w:rsid w:val="00EF25B2"/>
    <w:rsid w:val="00EF7C1C"/>
    <w:rsid w:val="00F00EBD"/>
    <w:rsid w:val="00F0535C"/>
    <w:rsid w:val="00F13E4C"/>
    <w:rsid w:val="00F1742F"/>
    <w:rsid w:val="00F22C21"/>
    <w:rsid w:val="00F26627"/>
    <w:rsid w:val="00F36E5A"/>
    <w:rsid w:val="00F37059"/>
    <w:rsid w:val="00F42EEF"/>
    <w:rsid w:val="00F44D50"/>
    <w:rsid w:val="00F45BF7"/>
    <w:rsid w:val="00F476A0"/>
    <w:rsid w:val="00F54205"/>
    <w:rsid w:val="00F55FFD"/>
    <w:rsid w:val="00F579B0"/>
    <w:rsid w:val="00F6045A"/>
    <w:rsid w:val="00F6430B"/>
    <w:rsid w:val="00F656EF"/>
    <w:rsid w:val="00F729B7"/>
    <w:rsid w:val="00F761FA"/>
    <w:rsid w:val="00F830A7"/>
    <w:rsid w:val="00F8444C"/>
    <w:rsid w:val="00F87C87"/>
    <w:rsid w:val="00F91C83"/>
    <w:rsid w:val="00F948BE"/>
    <w:rsid w:val="00F95C91"/>
    <w:rsid w:val="00F96CC4"/>
    <w:rsid w:val="00FA0AC2"/>
    <w:rsid w:val="00FA173C"/>
    <w:rsid w:val="00FA1F3D"/>
    <w:rsid w:val="00FA26DC"/>
    <w:rsid w:val="00FA500F"/>
    <w:rsid w:val="00FB0990"/>
    <w:rsid w:val="00FB2D98"/>
    <w:rsid w:val="00FC71C5"/>
    <w:rsid w:val="00FD1D74"/>
    <w:rsid w:val="00FD2995"/>
    <w:rsid w:val="00FD591D"/>
    <w:rsid w:val="00FD5BC2"/>
    <w:rsid w:val="00FD7BC3"/>
    <w:rsid w:val="00FE0940"/>
    <w:rsid w:val="00FE2360"/>
    <w:rsid w:val="00FE6BC3"/>
    <w:rsid w:val="00FE73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7A"/>
    <w:pPr>
      <w:spacing w:after="120"/>
    </w:pPr>
  </w:style>
  <w:style w:type="paragraph" w:styleId="Titre1">
    <w:name w:val="heading 1"/>
    <w:basedOn w:val="Normal"/>
    <w:next w:val="Normal"/>
    <w:link w:val="Titre1Car"/>
    <w:uiPriority w:val="9"/>
    <w:qFormat/>
    <w:rsid w:val="00CB4E7A"/>
    <w:pPr>
      <w:keepNext/>
      <w:keepLines/>
      <w:spacing w:before="600" w:after="240"/>
      <w:outlineLvl w:val="0"/>
    </w:pPr>
    <w:rPr>
      <w:rFonts w:asciiTheme="majorHAnsi" w:eastAsiaTheme="majorEastAsia" w:hAnsiTheme="majorHAnsi" w:cstheme="majorBidi"/>
      <w:b/>
      <w:bCs/>
      <w:color w:val="365F91" w:themeColor="accent1" w:themeShade="BF"/>
      <w:sz w:val="26"/>
      <w:szCs w:val="28"/>
    </w:rPr>
  </w:style>
  <w:style w:type="paragraph" w:styleId="Titre2">
    <w:name w:val="heading 2"/>
    <w:basedOn w:val="Normal"/>
    <w:next w:val="Normal"/>
    <w:link w:val="Titre2Car"/>
    <w:uiPriority w:val="9"/>
    <w:unhideWhenUsed/>
    <w:qFormat/>
    <w:rsid w:val="000D27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F2D"/>
    <w:pPr>
      <w:ind w:left="720"/>
      <w:contextualSpacing/>
    </w:pPr>
  </w:style>
  <w:style w:type="paragraph" w:styleId="En-tte">
    <w:name w:val="header"/>
    <w:basedOn w:val="Normal"/>
    <w:link w:val="En-tteCar"/>
    <w:uiPriority w:val="99"/>
    <w:unhideWhenUsed/>
    <w:rsid w:val="008804F1"/>
    <w:pPr>
      <w:tabs>
        <w:tab w:val="center" w:pos="4536"/>
        <w:tab w:val="right" w:pos="9072"/>
      </w:tabs>
      <w:spacing w:after="0" w:line="240" w:lineRule="auto"/>
    </w:pPr>
  </w:style>
  <w:style w:type="character" w:customStyle="1" w:styleId="En-tteCar">
    <w:name w:val="En-tête Car"/>
    <w:basedOn w:val="Policepardfaut"/>
    <w:link w:val="En-tte"/>
    <w:uiPriority w:val="99"/>
    <w:rsid w:val="008804F1"/>
  </w:style>
  <w:style w:type="paragraph" w:styleId="Pieddepage">
    <w:name w:val="footer"/>
    <w:basedOn w:val="Normal"/>
    <w:link w:val="PieddepageCar"/>
    <w:uiPriority w:val="99"/>
    <w:unhideWhenUsed/>
    <w:rsid w:val="00880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4F1"/>
  </w:style>
  <w:style w:type="paragraph" w:styleId="Textedebulles">
    <w:name w:val="Balloon Text"/>
    <w:basedOn w:val="Normal"/>
    <w:link w:val="TextedebullesCar"/>
    <w:uiPriority w:val="99"/>
    <w:semiHidden/>
    <w:unhideWhenUsed/>
    <w:rsid w:val="008804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4F1"/>
    <w:rPr>
      <w:rFonts w:ascii="Tahoma" w:hAnsi="Tahoma" w:cs="Tahoma"/>
      <w:sz w:val="16"/>
      <w:szCs w:val="16"/>
    </w:rPr>
  </w:style>
  <w:style w:type="paragraph" w:customStyle="1" w:styleId="Default">
    <w:name w:val="Default"/>
    <w:rsid w:val="006E5C75"/>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D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126B9"/>
    <w:rPr>
      <w:sz w:val="16"/>
      <w:szCs w:val="16"/>
    </w:rPr>
  </w:style>
  <w:style w:type="paragraph" w:styleId="Commentaire">
    <w:name w:val="annotation text"/>
    <w:basedOn w:val="Normal"/>
    <w:link w:val="CommentaireCar"/>
    <w:uiPriority w:val="99"/>
    <w:unhideWhenUsed/>
    <w:rsid w:val="00A74306"/>
    <w:pPr>
      <w:spacing w:line="240" w:lineRule="auto"/>
    </w:pPr>
    <w:rPr>
      <w:sz w:val="20"/>
      <w:szCs w:val="20"/>
    </w:rPr>
  </w:style>
  <w:style w:type="character" w:customStyle="1" w:styleId="CommentaireCar">
    <w:name w:val="Commentaire Car"/>
    <w:basedOn w:val="Policepardfaut"/>
    <w:link w:val="Commentaire"/>
    <w:uiPriority w:val="99"/>
    <w:rsid w:val="00A74306"/>
    <w:rPr>
      <w:sz w:val="20"/>
      <w:szCs w:val="20"/>
    </w:rPr>
  </w:style>
  <w:style w:type="paragraph" w:styleId="Objetducommentaire">
    <w:name w:val="annotation subject"/>
    <w:basedOn w:val="Commentaire"/>
    <w:next w:val="Commentaire"/>
    <w:link w:val="ObjetducommentaireCar"/>
    <w:uiPriority w:val="99"/>
    <w:semiHidden/>
    <w:unhideWhenUsed/>
    <w:rsid w:val="00B126B9"/>
    <w:rPr>
      <w:b/>
      <w:bCs/>
    </w:rPr>
  </w:style>
  <w:style w:type="character" w:customStyle="1" w:styleId="ObjetducommentaireCar">
    <w:name w:val="Objet du commentaire Car"/>
    <w:basedOn w:val="CommentaireCar"/>
    <w:link w:val="Objetducommentaire"/>
    <w:uiPriority w:val="99"/>
    <w:semiHidden/>
    <w:rsid w:val="00B126B9"/>
    <w:rPr>
      <w:b/>
      <w:bCs/>
      <w:sz w:val="20"/>
      <w:szCs w:val="20"/>
    </w:rPr>
  </w:style>
  <w:style w:type="paragraph" w:styleId="Notedefin">
    <w:name w:val="endnote text"/>
    <w:basedOn w:val="Normal"/>
    <w:link w:val="NotedefinCar"/>
    <w:uiPriority w:val="99"/>
    <w:semiHidden/>
    <w:unhideWhenUsed/>
    <w:rsid w:val="00044E30"/>
    <w:pPr>
      <w:spacing w:after="0" w:line="240" w:lineRule="auto"/>
    </w:pPr>
    <w:rPr>
      <w:sz w:val="20"/>
      <w:szCs w:val="20"/>
    </w:rPr>
  </w:style>
  <w:style w:type="character" w:customStyle="1" w:styleId="NotedefinCar">
    <w:name w:val="Note de fin Car"/>
    <w:basedOn w:val="Policepardfaut"/>
    <w:link w:val="Notedefin"/>
    <w:uiPriority w:val="99"/>
    <w:semiHidden/>
    <w:rsid w:val="00044E30"/>
    <w:rPr>
      <w:sz w:val="20"/>
      <w:szCs w:val="20"/>
    </w:rPr>
  </w:style>
  <w:style w:type="character" w:styleId="Appeldenotedefin">
    <w:name w:val="endnote reference"/>
    <w:basedOn w:val="Policepardfaut"/>
    <w:uiPriority w:val="99"/>
    <w:semiHidden/>
    <w:unhideWhenUsed/>
    <w:rsid w:val="00044E30"/>
    <w:rPr>
      <w:vertAlign w:val="superscript"/>
    </w:rPr>
  </w:style>
  <w:style w:type="paragraph" w:styleId="Notedebasdepage">
    <w:name w:val="footnote text"/>
    <w:basedOn w:val="Normal"/>
    <w:link w:val="NotedebasdepageCar"/>
    <w:uiPriority w:val="99"/>
    <w:semiHidden/>
    <w:unhideWhenUsed/>
    <w:rsid w:val="000F5B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BBC"/>
    <w:rPr>
      <w:sz w:val="20"/>
      <w:szCs w:val="20"/>
    </w:rPr>
  </w:style>
  <w:style w:type="character" w:styleId="Appelnotedebasdep">
    <w:name w:val="footnote reference"/>
    <w:basedOn w:val="Policepardfaut"/>
    <w:uiPriority w:val="99"/>
    <w:semiHidden/>
    <w:unhideWhenUsed/>
    <w:rsid w:val="000F5BBC"/>
    <w:rPr>
      <w:vertAlign w:val="superscript"/>
    </w:rPr>
  </w:style>
  <w:style w:type="character" w:customStyle="1" w:styleId="Titre1Car">
    <w:name w:val="Titre 1 Car"/>
    <w:basedOn w:val="Policepardfaut"/>
    <w:link w:val="Titre1"/>
    <w:uiPriority w:val="9"/>
    <w:rsid w:val="00CB4E7A"/>
    <w:rPr>
      <w:rFonts w:asciiTheme="majorHAnsi" w:eastAsiaTheme="majorEastAsia" w:hAnsiTheme="majorHAnsi" w:cstheme="majorBidi"/>
      <w:b/>
      <w:bCs/>
      <w:color w:val="365F91" w:themeColor="accent1" w:themeShade="BF"/>
      <w:sz w:val="26"/>
      <w:szCs w:val="28"/>
    </w:rPr>
  </w:style>
  <w:style w:type="character" w:customStyle="1" w:styleId="Titre2Car">
    <w:name w:val="Titre 2 Car"/>
    <w:basedOn w:val="Policepardfaut"/>
    <w:link w:val="Titre2"/>
    <w:uiPriority w:val="9"/>
    <w:rsid w:val="000D2734"/>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qFormat/>
    <w:rsid w:val="000D27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273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200C99"/>
    <w:rPr>
      <w:i/>
      <w:iCs/>
      <w:color w:val="808080" w:themeColor="text1" w:themeTint="7F"/>
    </w:rPr>
  </w:style>
  <w:style w:type="paragraph" w:styleId="En-ttedetabledesmatires">
    <w:name w:val="TOC Heading"/>
    <w:basedOn w:val="Titre1"/>
    <w:next w:val="Normal"/>
    <w:uiPriority w:val="39"/>
    <w:semiHidden/>
    <w:unhideWhenUsed/>
    <w:qFormat/>
    <w:rsid w:val="00261B28"/>
    <w:pPr>
      <w:outlineLvl w:val="9"/>
    </w:pPr>
  </w:style>
  <w:style w:type="paragraph" w:styleId="TM1">
    <w:name w:val="toc 1"/>
    <w:basedOn w:val="Normal"/>
    <w:next w:val="Normal"/>
    <w:autoRedefine/>
    <w:uiPriority w:val="39"/>
    <w:unhideWhenUsed/>
    <w:qFormat/>
    <w:rsid w:val="00261B28"/>
    <w:pPr>
      <w:spacing w:after="100"/>
    </w:pPr>
  </w:style>
  <w:style w:type="character" w:styleId="Lienhypertexte">
    <w:name w:val="Hyperlink"/>
    <w:basedOn w:val="Policepardfaut"/>
    <w:uiPriority w:val="99"/>
    <w:unhideWhenUsed/>
    <w:rsid w:val="00261B28"/>
    <w:rPr>
      <w:color w:val="0000FF" w:themeColor="hyperlink"/>
      <w:u w:val="single"/>
    </w:rPr>
  </w:style>
  <w:style w:type="paragraph" w:styleId="TM2">
    <w:name w:val="toc 2"/>
    <w:basedOn w:val="Normal"/>
    <w:next w:val="Normal"/>
    <w:autoRedefine/>
    <w:uiPriority w:val="39"/>
    <w:unhideWhenUsed/>
    <w:qFormat/>
    <w:rsid w:val="007A6CA7"/>
    <w:pPr>
      <w:spacing w:after="100"/>
      <w:ind w:left="220"/>
    </w:pPr>
  </w:style>
  <w:style w:type="paragraph" w:styleId="TM3">
    <w:name w:val="toc 3"/>
    <w:basedOn w:val="Normal"/>
    <w:next w:val="Normal"/>
    <w:autoRedefine/>
    <w:uiPriority w:val="39"/>
    <w:semiHidden/>
    <w:unhideWhenUsed/>
    <w:qFormat/>
    <w:rsid w:val="007A6CA7"/>
    <w:pPr>
      <w:spacing w:after="100"/>
      <w:ind w:left="440"/>
    </w:pPr>
  </w:style>
  <w:style w:type="character" w:customStyle="1" w:styleId="Emphaseple1">
    <w:name w:val="Emphase pâle1"/>
    <w:rsid w:val="00AB0924"/>
    <w:rPr>
      <w:i/>
      <w:iCs/>
      <w:color w:val="808080"/>
    </w:rPr>
  </w:style>
  <w:style w:type="character" w:customStyle="1" w:styleId="Emphaseple2">
    <w:name w:val="Emphase pâle2"/>
    <w:rsid w:val="00AB0924"/>
    <w:rPr>
      <w:i/>
      <w:iCs/>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E7A"/>
    <w:pPr>
      <w:spacing w:after="120"/>
    </w:pPr>
  </w:style>
  <w:style w:type="paragraph" w:styleId="Titre1">
    <w:name w:val="heading 1"/>
    <w:basedOn w:val="Normal"/>
    <w:next w:val="Normal"/>
    <w:link w:val="Titre1Car"/>
    <w:uiPriority w:val="9"/>
    <w:qFormat/>
    <w:rsid w:val="00CB4E7A"/>
    <w:pPr>
      <w:keepNext/>
      <w:keepLines/>
      <w:spacing w:before="600" w:after="240"/>
      <w:outlineLvl w:val="0"/>
    </w:pPr>
    <w:rPr>
      <w:rFonts w:asciiTheme="majorHAnsi" w:eastAsiaTheme="majorEastAsia" w:hAnsiTheme="majorHAnsi" w:cstheme="majorBidi"/>
      <w:b/>
      <w:bCs/>
      <w:color w:val="365F91" w:themeColor="accent1" w:themeShade="BF"/>
      <w:sz w:val="26"/>
      <w:szCs w:val="28"/>
    </w:rPr>
  </w:style>
  <w:style w:type="paragraph" w:styleId="Titre2">
    <w:name w:val="heading 2"/>
    <w:basedOn w:val="Normal"/>
    <w:next w:val="Normal"/>
    <w:link w:val="Titre2Car"/>
    <w:uiPriority w:val="9"/>
    <w:unhideWhenUsed/>
    <w:qFormat/>
    <w:rsid w:val="000D273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7F2D"/>
    <w:pPr>
      <w:ind w:left="720"/>
      <w:contextualSpacing/>
    </w:pPr>
  </w:style>
  <w:style w:type="paragraph" w:styleId="En-tte">
    <w:name w:val="header"/>
    <w:basedOn w:val="Normal"/>
    <w:link w:val="En-tteCar"/>
    <w:uiPriority w:val="99"/>
    <w:unhideWhenUsed/>
    <w:rsid w:val="008804F1"/>
    <w:pPr>
      <w:tabs>
        <w:tab w:val="center" w:pos="4536"/>
        <w:tab w:val="right" w:pos="9072"/>
      </w:tabs>
      <w:spacing w:after="0" w:line="240" w:lineRule="auto"/>
    </w:pPr>
  </w:style>
  <w:style w:type="character" w:customStyle="1" w:styleId="En-tteCar">
    <w:name w:val="En-tête Car"/>
    <w:basedOn w:val="Policepardfaut"/>
    <w:link w:val="En-tte"/>
    <w:uiPriority w:val="99"/>
    <w:rsid w:val="008804F1"/>
  </w:style>
  <w:style w:type="paragraph" w:styleId="Pieddepage">
    <w:name w:val="footer"/>
    <w:basedOn w:val="Normal"/>
    <w:link w:val="PieddepageCar"/>
    <w:uiPriority w:val="99"/>
    <w:unhideWhenUsed/>
    <w:rsid w:val="008804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804F1"/>
  </w:style>
  <w:style w:type="paragraph" w:styleId="Textedebulles">
    <w:name w:val="Balloon Text"/>
    <w:basedOn w:val="Normal"/>
    <w:link w:val="TextedebullesCar"/>
    <w:uiPriority w:val="99"/>
    <w:semiHidden/>
    <w:unhideWhenUsed/>
    <w:rsid w:val="008804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804F1"/>
    <w:rPr>
      <w:rFonts w:ascii="Tahoma" w:hAnsi="Tahoma" w:cs="Tahoma"/>
      <w:sz w:val="16"/>
      <w:szCs w:val="16"/>
    </w:rPr>
  </w:style>
  <w:style w:type="paragraph" w:customStyle="1" w:styleId="Default">
    <w:name w:val="Default"/>
    <w:rsid w:val="006E5C75"/>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1D4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126B9"/>
    <w:rPr>
      <w:sz w:val="16"/>
      <w:szCs w:val="16"/>
    </w:rPr>
  </w:style>
  <w:style w:type="paragraph" w:styleId="Commentaire">
    <w:name w:val="annotation text"/>
    <w:basedOn w:val="Normal"/>
    <w:link w:val="CommentaireCar"/>
    <w:uiPriority w:val="99"/>
    <w:unhideWhenUsed/>
    <w:rsid w:val="00A74306"/>
    <w:pPr>
      <w:spacing w:line="240" w:lineRule="auto"/>
    </w:pPr>
    <w:rPr>
      <w:sz w:val="20"/>
      <w:szCs w:val="20"/>
    </w:rPr>
  </w:style>
  <w:style w:type="character" w:customStyle="1" w:styleId="CommentaireCar">
    <w:name w:val="Commentaire Car"/>
    <w:basedOn w:val="Policepardfaut"/>
    <w:link w:val="Commentaire"/>
    <w:uiPriority w:val="99"/>
    <w:rsid w:val="00A74306"/>
    <w:rPr>
      <w:sz w:val="20"/>
      <w:szCs w:val="20"/>
    </w:rPr>
  </w:style>
  <w:style w:type="paragraph" w:styleId="Objetducommentaire">
    <w:name w:val="annotation subject"/>
    <w:basedOn w:val="Commentaire"/>
    <w:next w:val="Commentaire"/>
    <w:link w:val="ObjetducommentaireCar"/>
    <w:uiPriority w:val="99"/>
    <w:semiHidden/>
    <w:unhideWhenUsed/>
    <w:rsid w:val="00B126B9"/>
    <w:rPr>
      <w:b/>
      <w:bCs/>
    </w:rPr>
  </w:style>
  <w:style w:type="character" w:customStyle="1" w:styleId="ObjetducommentaireCar">
    <w:name w:val="Objet du commentaire Car"/>
    <w:basedOn w:val="CommentaireCar"/>
    <w:link w:val="Objetducommentaire"/>
    <w:uiPriority w:val="99"/>
    <w:semiHidden/>
    <w:rsid w:val="00B126B9"/>
    <w:rPr>
      <w:b/>
      <w:bCs/>
      <w:sz w:val="20"/>
      <w:szCs w:val="20"/>
    </w:rPr>
  </w:style>
  <w:style w:type="paragraph" w:styleId="Notedefin">
    <w:name w:val="endnote text"/>
    <w:basedOn w:val="Normal"/>
    <w:link w:val="NotedefinCar"/>
    <w:uiPriority w:val="99"/>
    <w:semiHidden/>
    <w:unhideWhenUsed/>
    <w:rsid w:val="00044E30"/>
    <w:pPr>
      <w:spacing w:after="0" w:line="240" w:lineRule="auto"/>
    </w:pPr>
    <w:rPr>
      <w:sz w:val="20"/>
      <w:szCs w:val="20"/>
    </w:rPr>
  </w:style>
  <w:style w:type="character" w:customStyle="1" w:styleId="NotedefinCar">
    <w:name w:val="Note de fin Car"/>
    <w:basedOn w:val="Policepardfaut"/>
    <w:link w:val="Notedefin"/>
    <w:uiPriority w:val="99"/>
    <w:semiHidden/>
    <w:rsid w:val="00044E30"/>
    <w:rPr>
      <w:sz w:val="20"/>
      <w:szCs w:val="20"/>
    </w:rPr>
  </w:style>
  <w:style w:type="character" w:styleId="Appeldenotedefin">
    <w:name w:val="endnote reference"/>
    <w:basedOn w:val="Policepardfaut"/>
    <w:uiPriority w:val="99"/>
    <w:semiHidden/>
    <w:unhideWhenUsed/>
    <w:rsid w:val="00044E30"/>
    <w:rPr>
      <w:vertAlign w:val="superscript"/>
    </w:rPr>
  </w:style>
  <w:style w:type="paragraph" w:styleId="Notedebasdepage">
    <w:name w:val="footnote text"/>
    <w:basedOn w:val="Normal"/>
    <w:link w:val="NotedebasdepageCar"/>
    <w:uiPriority w:val="99"/>
    <w:semiHidden/>
    <w:unhideWhenUsed/>
    <w:rsid w:val="000F5BB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F5BBC"/>
    <w:rPr>
      <w:sz w:val="20"/>
      <w:szCs w:val="20"/>
    </w:rPr>
  </w:style>
  <w:style w:type="character" w:styleId="Appelnotedebasdep">
    <w:name w:val="footnote reference"/>
    <w:basedOn w:val="Policepardfaut"/>
    <w:uiPriority w:val="99"/>
    <w:semiHidden/>
    <w:unhideWhenUsed/>
    <w:rsid w:val="000F5BBC"/>
    <w:rPr>
      <w:vertAlign w:val="superscript"/>
    </w:rPr>
  </w:style>
  <w:style w:type="character" w:customStyle="1" w:styleId="Titre1Car">
    <w:name w:val="Titre 1 Car"/>
    <w:basedOn w:val="Policepardfaut"/>
    <w:link w:val="Titre1"/>
    <w:uiPriority w:val="9"/>
    <w:rsid w:val="00CB4E7A"/>
    <w:rPr>
      <w:rFonts w:asciiTheme="majorHAnsi" w:eastAsiaTheme="majorEastAsia" w:hAnsiTheme="majorHAnsi" w:cstheme="majorBidi"/>
      <w:b/>
      <w:bCs/>
      <w:color w:val="365F91" w:themeColor="accent1" w:themeShade="BF"/>
      <w:sz w:val="26"/>
      <w:szCs w:val="28"/>
    </w:rPr>
  </w:style>
  <w:style w:type="character" w:customStyle="1" w:styleId="Titre2Car">
    <w:name w:val="Titre 2 Car"/>
    <w:basedOn w:val="Policepardfaut"/>
    <w:link w:val="Titre2"/>
    <w:uiPriority w:val="9"/>
    <w:rsid w:val="000D2734"/>
    <w:rPr>
      <w:rFonts w:asciiTheme="majorHAnsi" w:eastAsiaTheme="majorEastAsia" w:hAnsiTheme="majorHAnsi" w:cstheme="majorBidi"/>
      <w:b/>
      <w:bCs/>
      <w:color w:val="4F81BD" w:themeColor="accent1"/>
      <w:sz w:val="26"/>
      <w:szCs w:val="26"/>
    </w:rPr>
  </w:style>
  <w:style w:type="paragraph" w:styleId="Sous-titre">
    <w:name w:val="Subtitle"/>
    <w:basedOn w:val="Normal"/>
    <w:next w:val="Normal"/>
    <w:link w:val="Sous-titreCar"/>
    <w:qFormat/>
    <w:rsid w:val="000D27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0D2734"/>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200C99"/>
    <w:rPr>
      <w:i/>
      <w:iCs/>
      <w:color w:val="808080" w:themeColor="text1" w:themeTint="7F"/>
    </w:rPr>
  </w:style>
  <w:style w:type="paragraph" w:styleId="En-ttedetabledesmatires">
    <w:name w:val="TOC Heading"/>
    <w:basedOn w:val="Titre1"/>
    <w:next w:val="Normal"/>
    <w:uiPriority w:val="39"/>
    <w:semiHidden/>
    <w:unhideWhenUsed/>
    <w:qFormat/>
    <w:rsid w:val="00261B28"/>
    <w:pPr>
      <w:outlineLvl w:val="9"/>
    </w:pPr>
  </w:style>
  <w:style w:type="paragraph" w:styleId="TM1">
    <w:name w:val="toc 1"/>
    <w:basedOn w:val="Normal"/>
    <w:next w:val="Normal"/>
    <w:autoRedefine/>
    <w:uiPriority w:val="39"/>
    <w:unhideWhenUsed/>
    <w:qFormat/>
    <w:rsid w:val="00261B28"/>
    <w:pPr>
      <w:spacing w:after="100"/>
    </w:pPr>
  </w:style>
  <w:style w:type="character" w:styleId="Lienhypertexte">
    <w:name w:val="Hyperlink"/>
    <w:basedOn w:val="Policepardfaut"/>
    <w:uiPriority w:val="99"/>
    <w:unhideWhenUsed/>
    <w:rsid w:val="00261B28"/>
    <w:rPr>
      <w:color w:val="0000FF" w:themeColor="hyperlink"/>
      <w:u w:val="single"/>
    </w:rPr>
  </w:style>
  <w:style w:type="paragraph" w:styleId="TM2">
    <w:name w:val="toc 2"/>
    <w:basedOn w:val="Normal"/>
    <w:next w:val="Normal"/>
    <w:autoRedefine/>
    <w:uiPriority w:val="39"/>
    <w:unhideWhenUsed/>
    <w:qFormat/>
    <w:rsid w:val="007A6CA7"/>
    <w:pPr>
      <w:spacing w:after="100"/>
      <w:ind w:left="220"/>
    </w:pPr>
  </w:style>
  <w:style w:type="paragraph" w:styleId="TM3">
    <w:name w:val="toc 3"/>
    <w:basedOn w:val="Normal"/>
    <w:next w:val="Normal"/>
    <w:autoRedefine/>
    <w:uiPriority w:val="39"/>
    <w:semiHidden/>
    <w:unhideWhenUsed/>
    <w:qFormat/>
    <w:rsid w:val="007A6CA7"/>
    <w:pPr>
      <w:spacing w:after="100"/>
      <w:ind w:left="440"/>
    </w:pPr>
  </w:style>
  <w:style w:type="character" w:customStyle="1" w:styleId="Emphaseple1">
    <w:name w:val="Emphase pâle1"/>
    <w:rsid w:val="00AB0924"/>
    <w:rPr>
      <w:i/>
      <w:iCs/>
      <w:color w:val="808080"/>
    </w:rPr>
  </w:style>
  <w:style w:type="character" w:customStyle="1" w:styleId="Emphaseple2">
    <w:name w:val="Emphase pâle2"/>
    <w:rsid w:val="00AB0924"/>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96842">
      <w:bodyDiv w:val="1"/>
      <w:marLeft w:val="0"/>
      <w:marRight w:val="0"/>
      <w:marTop w:val="0"/>
      <w:marBottom w:val="0"/>
      <w:divBdr>
        <w:top w:val="none" w:sz="0" w:space="0" w:color="auto"/>
        <w:left w:val="none" w:sz="0" w:space="0" w:color="auto"/>
        <w:bottom w:val="none" w:sz="0" w:space="0" w:color="auto"/>
        <w:right w:val="none" w:sz="0" w:space="0" w:color="auto"/>
      </w:divBdr>
    </w:div>
    <w:div w:id="508982003">
      <w:bodyDiv w:val="1"/>
      <w:marLeft w:val="0"/>
      <w:marRight w:val="0"/>
      <w:marTop w:val="0"/>
      <w:marBottom w:val="0"/>
      <w:divBdr>
        <w:top w:val="none" w:sz="0" w:space="0" w:color="auto"/>
        <w:left w:val="none" w:sz="0" w:space="0" w:color="auto"/>
        <w:bottom w:val="none" w:sz="0" w:space="0" w:color="auto"/>
        <w:right w:val="none" w:sz="0" w:space="0" w:color="auto"/>
      </w:divBdr>
    </w:div>
    <w:div w:id="672025383">
      <w:bodyDiv w:val="1"/>
      <w:marLeft w:val="0"/>
      <w:marRight w:val="0"/>
      <w:marTop w:val="0"/>
      <w:marBottom w:val="0"/>
      <w:divBdr>
        <w:top w:val="none" w:sz="0" w:space="0" w:color="auto"/>
        <w:left w:val="none" w:sz="0" w:space="0" w:color="auto"/>
        <w:bottom w:val="none" w:sz="0" w:space="0" w:color="auto"/>
        <w:right w:val="none" w:sz="0" w:space="0" w:color="auto"/>
      </w:divBdr>
    </w:div>
    <w:div w:id="714623415">
      <w:bodyDiv w:val="1"/>
      <w:marLeft w:val="0"/>
      <w:marRight w:val="0"/>
      <w:marTop w:val="0"/>
      <w:marBottom w:val="0"/>
      <w:divBdr>
        <w:top w:val="none" w:sz="0" w:space="0" w:color="auto"/>
        <w:left w:val="none" w:sz="0" w:space="0" w:color="auto"/>
        <w:bottom w:val="none" w:sz="0" w:space="0" w:color="auto"/>
        <w:right w:val="none" w:sz="0" w:space="0" w:color="auto"/>
      </w:divBdr>
    </w:div>
    <w:div w:id="736392427">
      <w:bodyDiv w:val="1"/>
      <w:marLeft w:val="0"/>
      <w:marRight w:val="0"/>
      <w:marTop w:val="0"/>
      <w:marBottom w:val="0"/>
      <w:divBdr>
        <w:top w:val="none" w:sz="0" w:space="0" w:color="auto"/>
        <w:left w:val="none" w:sz="0" w:space="0" w:color="auto"/>
        <w:bottom w:val="none" w:sz="0" w:space="0" w:color="auto"/>
        <w:right w:val="none" w:sz="0" w:space="0" w:color="auto"/>
      </w:divBdr>
    </w:div>
    <w:div w:id="754059241">
      <w:bodyDiv w:val="1"/>
      <w:marLeft w:val="0"/>
      <w:marRight w:val="0"/>
      <w:marTop w:val="0"/>
      <w:marBottom w:val="0"/>
      <w:divBdr>
        <w:top w:val="none" w:sz="0" w:space="0" w:color="auto"/>
        <w:left w:val="none" w:sz="0" w:space="0" w:color="auto"/>
        <w:bottom w:val="none" w:sz="0" w:space="0" w:color="auto"/>
        <w:right w:val="none" w:sz="0" w:space="0" w:color="auto"/>
      </w:divBdr>
    </w:div>
    <w:div w:id="800467007">
      <w:bodyDiv w:val="1"/>
      <w:marLeft w:val="0"/>
      <w:marRight w:val="0"/>
      <w:marTop w:val="0"/>
      <w:marBottom w:val="0"/>
      <w:divBdr>
        <w:top w:val="none" w:sz="0" w:space="0" w:color="auto"/>
        <w:left w:val="none" w:sz="0" w:space="0" w:color="auto"/>
        <w:bottom w:val="none" w:sz="0" w:space="0" w:color="auto"/>
        <w:right w:val="none" w:sz="0" w:space="0" w:color="auto"/>
      </w:divBdr>
    </w:div>
    <w:div w:id="885878004">
      <w:bodyDiv w:val="1"/>
      <w:marLeft w:val="0"/>
      <w:marRight w:val="0"/>
      <w:marTop w:val="0"/>
      <w:marBottom w:val="0"/>
      <w:divBdr>
        <w:top w:val="none" w:sz="0" w:space="0" w:color="auto"/>
        <w:left w:val="none" w:sz="0" w:space="0" w:color="auto"/>
        <w:bottom w:val="none" w:sz="0" w:space="0" w:color="auto"/>
        <w:right w:val="none" w:sz="0" w:space="0" w:color="auto"/>
      </w:divBdr>
    </w:div>
    <w:div w:id="1145241825">
      <w:bodyDiv w:val="1"/>
      <w:marLeft w:val="0"/>
      <w:marRight w:val="0"/>
      <w:marTop w:val="0"/>
      <w:marBottom w:val="0"/>
      <w:divBdr>
        <w:top w:val="none" w:sz="0" w:space="0" w:color="auto"/>
        <w:left w:val="none" w:sz="0" w:space="0" w:color="auto"/>
        <w:bottom w:val="none" w:sz="0" w:space="0" w:color="auto"/>
        <w:right w:val="none" w:sz="0" w:space="0" w:color="auto"/>
      </w:divBdr>
    </w:div>
    <w:div w:id="1443647200">
      <w:bodyDiv w:val="1"/>
      <w:marLeft w:val="0"/>
      <w:marRight w:val="0"/>
      <w:marTop w:val="0"/>
      <w:marBottom w:val="0"/>
      <w:divBdr>
        <w:top w:val="none" w:sz="0" w:space="0" w:color="auto"/>
        <w:left w:val="none" w:sz="0" w:space="0" w:color="auto"/>
        <w:bottom w:val="none" w:sz="0" w:space="0" w:color="auto"/>
        <w:right w:val="none" w:sz="0" w:space="0" w:color="auto"/>
      </w:divBdr>
    </w:div>
    <w:div w:id="1629510949">
      <w:bodyDiv w:val="1"/>
      <w:marLeft w:val="0"/>
      <w:marRight w:val="0"/>
      <w:marTop w:val="0"/>
      <w:marBottom w:val="0"/>
      <w:divBdr>
        <w:top w:val="none" w:sz="0" w:space="0" w:color="auto"/>
        <w:left w:val="none" w:sz="0" w:space="0" w:color="auto"/>
        <w:bottom w:val="none" w:sz="0" w:space="0" w:color="auto"/>
        <w:right w:val="none" w:sz="0" w:space="0" w:color="auto"/>
      </w:divBdr>
    </w:div>
    <w:div w:id="1648431980">
      <w:bodyDiv w:val="1"/>
      <w:marLeft w:val="0"/>
      <w:marRight w:val="0"/>
      <w:marTop w:val="0"/>
      <w:marBottom w:val="0"/>
      <w:divBdr>
        <w:top w:val="none" w:sz="0" w:space="0" w:color="auto"/>
        <w:left w:val="none" w:sz="0" w:space="0" w:color="auto"/>
        <w:bottom w:val="none" w:sz="0" w:space="0" w:color="auto"/>
        <w:right w:val="none" w:sz="0" w:space="0" w:color="auto"/>
      </w:divBdr>
    </w:div>
    <w:div w:id="1649817107">
      <w:bodyDiv w:val="1"/>
      <w:marLeft w:val="0"/>
      <w:marRight w:val="0"/>
      <w:marTop w:val="0"/>
      <w:marBottom w:val="0"/>
      <w:divBdr>
        <w:top w:val="none" w:sz="0" w:space="0" w:color="auto"/>
        <w:left w:val="none" w:sz="0" w:space="0" w:color="auto"/>
        <w:bottom w:val="none" w:sz="0" w:space="0" w:color="auto"/>
        <w:right w:val="none" w:sz="0" w:space="0" w:color="auto"/>
      </w:divBdr>
    </w:div>
    <w:div w:id="1705593340">
      <w:bodyDiv w:val="1"/>
      <w:marLeft w:val="0"/>
      <w:marRight w:val="0"/>
      <w:marTop w:val="0"/>
      <w:marBottom w:val="0"/>
      <w:divBdr>
        <w:top w:val="none" w:sz="0" w:space="0" w:color="auto"/>
        <w:left w:val="none" w:sz="0" w:space="0" w:color="auto"/>
        <w:bottom w:val="none" w:sz="0" w:space="0" w:color="auto"/>
        <w:right w:val="none" w:sz="0" w:space="0" w:color="auto"/>
      </w:divBdr>
    </w:div>
    <w:div w:id="1829637474">
      <w:bodyDiv w:val="1"/>
      <w:marLeft w:val="0"/>
      <w:marRight w:val="0"/>
      <w:marTop w:val="0"/>
      <w:marBottom w:val="0"/>
      <w:divBdr>
        <w:top w:val="none" w:sz="0" w:space="0" w:color="auto"/>
        <w:left w:val="none" w:sz="0" w:space="0" w:color="auto"/>
        <w:bottom w:val="none" w:sz="0" w:space="0" w:color="auto"/>
        <w:right w:val="none" w:sz="0" w:space="0" w:color="auto"/>
      </w:divBdr>
    </w:div>
    <w:div w:id="198269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3B2B0D-FC2A-43C7-9D2F-F7EC0DA73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4625</Words>
  <Characters>25439</Characters>
  <Application>Microsoft Office Word</Application>
  <DocSecurity>0</DocSecurity>
  <Lines>211</Lines>
  <Paragraphs>60</Paragraphs>
  <ScaleCrop>false</ScaleCrop>
  <HeadingPairs>
    <vt:vector size="2" baseType="variant">
      <vt:variant>
        <vt:lpstr>Titre</vt:lpstr>
      </vt:variant>
      <vt:variant>
        <vt:i4>1</vt:i4>
      </vt:variant>
    </vt:vector>
  </HeadingPairs>
  <TitlesOfParts>
    <vt:vector size="1" baseType="lpstr">
      <vt:lpstr/>
    </vt:vector>
  </TitlesOfParts>
  <Company>MSS</Company>
  <LinksUpToDate>false</LinksUpToDate>
  <CharactersWithSpaces>30004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abouquet</dc:creator>
  <cp:lastModifiedBy>BOUQUET, Anaëlle</cp:lastModifiedBy>
  <cp:revision>2</cp:revision>
  <cp:lastPrinted>2017-11-27T09:12:00Z</cp:lastPrinted>
  <dcterms:created xsi:type="dcterms:W3CDTF">2019-02-12T13:15:00Z</dcterms:created>
  <dcterms:modified xsi:type="dcterms:W3CDTF">2019-02-12T13:15:00Z</dcterms:modified>
</cp:coreProperties>
</file>